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B46BE" w14:textId="77777777" w:rsidR="000A73B6" w:rsidRDefault="00280557">
      <w:pPr>
        <w:pStyle w:val="a8"/>
        <w:rPr>
          <w:lang w:eastAsia="zh-CN"/>
        </w:rPr>
      </w:pPr>
      <w:r>
        <w:rPr>
          <w:noProof/>
          <w:sz w:val="20"/>
          <w:lang w:eastAsia="zh-CN"/>
        </w:rPr>
        <mc:AlternateContent>
          <mc:Choice Requires="wps">
            <w:drawing>
              <wp:anchor distT="0" distB="0" distL="114300" distR="114300" simplePos="0" relativeHeight="251655168" behindDoc="0" locked="0" layoutInCell="1" allowOverlap="1" wp14:anchorId="068E61F0" wp14:editId="206077A2">
                <wp:simplePos x="0" y="0"/>
                <wp:positionH relativeFrom="column">
                  <wp:posOffset>3067050</wp:posOffset>
                </wp:positionH>
                <wp:positionV relativeFrom="paragraph">
                  <wp:posOffset>-449580</wp:posOffset>
                </wp:positionV>
                <wp:extent cx="2076450" cy="2505710"/>
                <wp:effectExtent l="0" t="0" r="0" b="8890"/>
                <wp:wrapNone/>
                <wp:docPr id="5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2505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9F66B" w14:textId="2FAECA66" w:rsidR="005A0D4E" w:rsidRPr="001B2864" w:rsidRDefault="005A0D4E">
                            <w:pPr>
                              <w:pStyle w:val="a8"/>
                              <w:rPr>
                                <w:b/>
                                <w:bCs/>
                                <w:color w:val="800000"/>
                                <w:lang w:eastAsia="zh-CN"/>
                              </w:rPr>
                            </w:pPr>
                            <w:r>
                              <w:rPr>
                                <w:rFonts w:hint="eastAsia"/>
                                <w:b/>
                                <w:bCs/>
                                <w:color w:val="800000"/>
                                <w:lang w:eastAsia="zh-CN"/>
                              </w:rPr>
                              <w:t>May</w:t>
                            </w:r>
                            <w:r>
                              <w:rPr>
                                <w:b/>
                                <w:bCs/>
                                <w:color w:val="800000"/>
                                <w:lang w:eastAsia="zh-CN"/>
                              </w:rPr>
                              <w:t xml:space="preserve">. </w:t>
                            </w:r>
                            <w:r>
                              <w:rPr>
                                <w:rFonts w:hint="eastAsia"/>
                                <w:b/>
                                <w:bCs/>
                                <w:color w:val="800000"/>
                                <w:lang w:eastAsia="zh-CN"/>
                              </w:rPr>
                              <w:t>17</w:t>
                            </w:r>
                            <w:proofErr w:type="gramStart"/>
                            <w:r>
                              <w:rPr>
                                <w:rFonts w:hint="eastAsia"/>
                                <w:b/>
                                <w:bCs/>
                                <w:color w:val="800000"/>
                                <w:lang w:eastAsia="zh-CN"/>
                              </w:rPr>
                              <w:t>,  2016</w:t>
                            </w:r>
                            <w:proofErr w:type="gramEnd"/>
                            <w:r w:rsidRPr="001B2864">
                              <w:rPr>
                                <w:rFonts w:hint="eastAsia"/>
                                <w:b/>
                                <w:bCs/>
                                <w:color w:val="800000"/>
                                <w:lang w:eastAsia="zh-CN"/>
                              </w:rPr>
                              <w:br/>
                            </w:r>
                          </w:p>
                          <w:p w14:paraId="572917EC" w14:textId="77777777" w:rsidR="00362E0B" w:rsidRDefault="00362E0B" w:rsidP="00753D36">
                            <w:pPr>
                              <w:pStyle w:val="a7"/>
                              <w:rPr>
                                <w:rFonts w:hint="eastAsia"/>
                                <w:b/>
                                <w:color w:val="800000"/>
                                <w:lang w:eastAsia="zh-CN"/>
                              </w:rPr>
                            </w:pPr>
                            <w:r>
                              <w:rPr>
                                <w:rFonts w:hint="eastAsia"/>
                                <w:b/>
                                <w:color w:val="800000"/>
                                <w:lang w:eastAsia="zh-CN"/>
                              </w:rPr>
                              <w:t>宋爽</w:t>
                            </w:r>
                          </w:p>
                          <w:p w14:paraId="6481238D" w14:textId="493DCE02" w:rsidR="00362E0B" w:rsidRPr="00362E0B" w:rsidRDefault="00362E0B" w:rsidP="00753D36">
                            <w:pPr>
                              <w:pStyle w:val="a7"/>
                              <w:rPr>
                                <w:rFonts w:hint="eastAsia"/>
                                <w:color w:val="800000"/>
                                <w:lang w:eastAsia="zh-CN"/>
                              </w:rPr>
                            </w:pPr>
                            <w:r w:rsidRPr="00362E0B">
                              <w:rPr>
                                <w:color w:val="800000"/>
                                <w:lang w:eastAsia="zh-CN"/>
                              </w:rPr>
                              <w:t>songsh@sem.tsinghua.edu.cn</w:t>
                            </w:r>
                          </w:p>
                          <w:p w14:paraId="51E4398B" w14:textId="2FDA4B22" w:rsidR="00D2614A" w:rsidRDefault="00D2614A" w:rsidP="00753D36">
                            <w:pPr>
                              <w:pStyle w:val="a7"/>
                              <w:rPr>
                                <w:rFonts w:hint="eastAsia"/>
                                <w:b/>
                                <w:color w:val="800000"/>
                                <w:lang w:eastAsia="zh-CN"/>
                              </w:rPr>
                            </w:pPr>
                            <w:r w:rsidRPr="00D2614A">
                              <w:rPr>
                                <w:rFonts w:hint="eastAsia"/>
                                <w:b/>
                                <w:color w:val="800000"/>
                                <w:lang w:eastAsia="zh-CN"/>
                              </w:rPr>
                              <w:t>刘东民</w:t>
                            </w:r>
                          </w:p>
                          <w:p w14:paraId="214C6C8A" w14:textId="13A8F328" w:rsidR="005A0D4E" w:rsidRPr="00362E0B" w:rsidRDefault="00D2614A" w:rsidP="00753D36">
                            <w:pPr>
                              <w:pStyle w:val="a7"/>
                              <w:rPr>
                                <w:color w:val="800000"/>
                                <w:lang w:eastAsia="zh-CN"/>
                              </w:rPr>
                            </w:pPr>
                            <w:proofErr w:type="gramStart"/>
                            <w:r w:rsidRPr="00362E0B">
                              <w:rPr>
                                <w:color w:val="800000"/>
                                <w:lang w:eastAsia="zh-CN"/>
                              </w:rPr>
                              <w:t>sunshine</w:t>
                            </w:r>
                            <w:proofErr w:type="gramEnd"/>
                            <w:r w:rsidRPr="00362E0B">
                              <w:rPr>
                                <w:color w:val="800000"/>
                                <w:lang w:eastAsia="zh-CN"/>
                              </w:rPr>
                              <w:t>_ldm@126.com</w:t>
                            </w:r>
                            <w:r w:rsidR="005A0D4E" w:rsidRPr="00362E0B">
                              <w:rPr>
                                <w:color w:val="800000"/>
                                <w:lang w:eastAsia="zh-CN"/>
                              </w:rPr>
                              <w:t xml:space="preserve"> </w:t>
                            </w:r>
                          </w:p>
                          <w:p w14:paraId="0BECB643" w14:textId="6315113E" w:rsidR="005A0D4E" w:rsidRDefault="00362E0B" w:rsidP="00362E0B">
                            <w:pPr>
                              <w:pStyle w:val="a7"/>
                              <w:rPr>
                                <w:rFonts w:hint="eastAsia"/>
                                <w:b/>
                                <w:color w:val="800000"/>
                                <w:lang w:eastAsia="zh-CN"/>
                              </w:rPr>
                            </w:pPr>
                            <w:r>
                              <w:rPr>
                                <w:rFonts w:hint="eastAsia"/>
                                <w:b/>
                                <w:color w:val="800000"/>
                                <w:lang w:eastAsia="zh-CN"/>
                              </w:rPr>
                              <w:t>周文倩</w:t>
                            </w:r>
                          </w:p>
                          <w:p w14:paraId="48DF118B" w14:textId="1E96B1E8" w:rsidR="00362E0B" w:rsidRPr="00362E0B" w:rsidRDefault="00362E0B" w:rsidP="00362E0B">
                            <w:pPr>
                              <w:pStyle w:val="a7"/>
                              <w:rPr>
                                <w:rFonts w:hint="eastAsia"/>
                                <w:color w:val="800000"/>
                                <w:lang w:eastAsia="zh-CN"/>
                              </w:rPr>
                            </w:pPr>
                            <w:proofErr w:type="gramStart"/>
                            <w:r w:rsidRPr="00362E0B">
                              <w:rPr>
                                <w:b/>
                                <w:color w:val="800000"/>
                                <w:lang w:eastAsia="zh-CN"/>
                              </w:rPr>
                              <w:t>zhou</w:t>
                            </w:r>
                            <w:proofErr w:type="gramEnd"/>
                            <w:r w:rsidRPr="00362E0B">
                              <w:rPr>
                                <w:b/>
                                <w:color w:val="800000"/>
                                <w:lang w:eastAsia="zh-CN"/>
                              </w:rPr>
                              <w:t>_w</w:t>
                            </w:r>
                            <w:r w:rsidRPr="00362E0B">
                              <w:rPr>
                                <w:color w:val="800000"/>
                                <w:lang w:eastAsia="zh-CN"/>
                              </w:rPr>
                              <w:t>enqian@sina.com</w:t>
                            </w:r>
                          </w:p>
                          <w:p w14:paraId="3A4374A8" w14:textId="77777777" w:rsidR="00362E0B" w:rsidRPr="004C09DF" w:rsidRDefault="00362E0B" w:rsidP="004C09DF">
                            <w:pPr>
                              <w:pStyle w:val="a7"/>
                              <w:rPr>
                                <w:rFonts w:hint="eastAsia"/>
                                <w:b/>
                                <w:color w:val="800000"/>
                                <w:lang w:eastAsia="zh-C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241.5pt;margin-top:-35.35pt;width:163.5pt;height:197.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" filled="f" stroked="f">
                <v:textbox>
                  <w:txbxContent>
                    <w:p w14:paraId="6039F66B" w14:textId="2FAECA66" w:rsidR="005A0D4E" w:rsidRPr="001B2864" w:rsidRDefault="005A0D4E">
                      <w:pPr>
                        <w:pStyle w:val="a8"/>
                        <w:rPr>
                          <w:b/>
                          <w:bCs/>
                          <w:color w:val="800000"/>
                          <w:lang w:eastAsia="zh-CN"/>
                        </w:rPr>
                      </w:pPr>
                      <w:r>
                        <w:rPr>
                          <w:rFonts w:hint="eastAsia"/>
                          <w:b/>
                          <w:bCs/>
                          <w:color w:val="800000"/>
                          <w:lang w:eastAsia="zh-CN"/>
                        </w:rPr>
                        <w:t>May</w:t>
                      </w:r>
                      <w:r>
                        <w:rPr>
                          <w:b/>
                          <w:bCs/>
                          <w:color w:val="800000"/>
                          <w:lang w:eastAsia="zh-CN"/>
                        </w:rPr>
                        <w:t xml:space="preserve">. </w:t>
                      </w:r>
                      <w:r>
                        <w:rPr>
                          <w:rFonts w:hint="eastAsia"/>
                          <w:b/>
                          <w:bCs/>
                          <w:color w:val="800000"/>
                          <w:lang w:eastAsia="zh-CN"/>
                        </w:rPr>
                        <w:t>17</w:t>
                      </w:r>
                      <w:proofErr w:type="gramStart"/>
                      <w:r>
                        <w:rPr>
                          <w:rFonts w:hint="eastAsia"/>
                          <w:b/>
                          <w:bCs/>
                          <w:color w:val="800000"/>
                          <w:lang w:eastAsia="zh-CN"/>
                        </w:rPr>
                        <w:t>,  2016</w:t>
                      </w:r>
                      <w:proofErr w:type="gramEnd"/>
                      <w:r w:rsidRPr="001B2864">
                        <w:rPr>
                          <w:rFonts w:hint="eastAsia"/>
                          <w:b/>
                          <w:bCs/>
                          <w:color w:val="800000"/>
                          <w:lang w:eastAsia="zh-CN"/>
                        </w:rPr>
                        <w:br/>
                      </w:r>
                    </w:p>
                    <w:p w14:paraId="572917EC" w14:textId="77777777" w:rsidR="00362E0B" w:rsidRDefault="00362E0B" w:rsidP="00753D36">
                      <w:pPr>
                        <w:pStyle w:val="a7"/>
                        <w:rPr>
                          <w:rFonts w:hint="eastAsia"/>
                          <w:b/>
                          <w:color w:val="800000"/>
                          <w:lang w:eastAsia="zh-CN"/>
                        </w:rPr>
                      </w:pPr>
                      <w:r>
                        <w:rPr>
                          <w:rFonts w:hint="eastAsia"/>
                          <w:b/>
                          <w:color w:val="800000"/>
                          <w:lang w:eastAsia="zh-CN"/>
                        </w:rPr>
                        <w:t>宋爽</w:t>
                      </w:r>
                    </w:p>
                    <w:p w14:paraId="6481238D" w14:textId="493DCE02" w:rsidR="00362E0B" w:rsidRPr="00362E0B" w:rsidRDefault="00362E0B" w:rsidP="00753D36">
                      <w:pPr>
                        <w:pStyle w:val="a7"/>
                        <w:rPr>
                          <w:rFonts w:hint="eastAsia"/>
                          <w:color w:val="800000"/>
                          <w:lang w:eastAsia="zh-CN"/>
                        </w:rPr>
                      </w:pPr>
                      <w:r w:rsidRPr="00362E0B">
                        <w:rPr>
                          <w:color w:val="800000"/>
                          <w:lang w:eastAsia="zh-CN"/>
                        </w:rPr>
                        <w:t>songsh@sem.tsinghua.edu.cn</w:t>
                      </w:r>
                    </w:p>
                    <w:p w14:paraId="51E4398B" w14:textId="2FDA4B22" w:rsidR="00D2614A" w:rsidRDefault="00D2614A" w:rsidP="00753D36">
                      <w:pPr>
                        <w:pStyle w:val="a7"/>
                        <w:rPr>
                          <w:rFonts w:hint="eastAsia"/>
                          <w:b/>
                          <w:color w:val="800000"/>
                          <w:lang w:eastAsia="zh-CN"/>
                        </w:rPr>
                      </w:pPr>
                      <w:r w:rsidRPr="00D2614A">
                        <w:rPr>
                          <w:rFonts w:hint="eastAsia"/>
                          <w:b/>
                          <w:color w:val="800000"/>
                          <w:lang w:eastAsia="zh-CN"/>
                        </w:rPr>
                        <w:t>刘东民</w:t>
                      </w:r>
                    </w:p>
                    <w:p w14:paraId="214C6C8A" w14:textId="13A8F328" w:rsidR="005A0D4E" w:rsidRPr="00362E0B" w:rsidRDefault="00D2614A" w:rsidP="00753D36">
                      <w:pPr>
                        <w:pStyle w:val="a7"/>
                        <w:rPr>
                          <w:color w:val="800000"/>
                          <w:lang w:eastAsia="zh-CN"/>
                        </w:rPr>
                      </w:pPr>
                      <w:proofErr w:type="gramStart"/>
                      <w:r w:rsidRPr="00362E0B">
                        <w:rPr>
                          <w:color w:val="800000"/>
                          <w:lang w:eastAsia="zh-CN"/>
                        </w:rPr>
                        <w:t>sunshine</w:t>
                      </w:r>
                      <w:proofErr w:type="gramEnd"/>
                      <w:r w:rsidRPr="00362E0B">
                        <w:rPr>
                          <w:color w:val="800000"/>
                          <w:lang w:eastAsia="zh-CN"/>
                        </w:rPr>
                        <w:t>_ldm@126.com</w:t>
                      </w:r>
                      <w:r w:rsidR="005A0D4E" w:rsidRPr="00362E0B">
                        <w:rPr>
                          <w:color w:val="800000"/>
                          <w:lang w:eastAsia="zh-CN"/>
                        </w:rPr>
                        <w:t xml:space="preserve"> </w:t>
                      </w:r>
                    </w:p>
                    <w:p w14:paraId="0BECB643" w14:textId="6315113E" w:rsidR="005A0D4E" w:rsidRDefault="00362E0B" w:rsidP="00362E0B">
                      <w:pPr>
                        <w:pStyle w:val="a7"/>
                        <w:rPr>
                          <w:rFonts w:hint="eastAsia"/>
                          <w:b/>
                          <w:color w:val="800000"/>
                          <w:lang w:eastAsia="zh-CN"/>
                        </w:rPr>
                      </w:pPr>
                      <w:r>
                        <w:rPr>
                          <w:rFonts w:hint="eastAsia"/>
                          <w:b/>
                          <w:color w:val="800000"/>
                          <w:lang w:eastAsia="zh-CN"/>
                        </w:rPr>
                        <w:t>周文倩</w:t>
                      </w:r>
                    </w:p>
                    <w:p w14:paraId="48DF118B" w14:textId="1E96B1E8" w:rsidR="00362E0B" w:rsidRPr="00362E0B" w:rsidRDefault="00362E0B" w:rsidP="00362E0B">
                      <w:pPr>
                        <w:pStyle w:val="a7"/>
                        <w:rPr>
                          <w:rFonts w:hint="eastAsia"/>
                          <w:color w:val="800000"/>
                          <w:lang w:eastAsia="zh-CN"/>
                        </w:rPr>
                      </w:pPr>
                      <w:proofErr w:type="gramStart"/>
                      <w:r w:rsidRPr="00362E0B">
                        <w:rPr>
                          <w:b/>
                          <w:color w:val="800000"/>
                          <w:lang w:eastAsia="zh-CN"/>
                        </w:rPr>
                        <w:t>zhou</w:t>
                      </w:r>
                      <w:proofErr w:type="gramEnd"/>
                      <w:r w:rsidRPr="00362E0B">
                        <w:rPr>
                          <w:b/>
                          <w:color w:val="800000"/>
                          <w:lang w:eastAsia="zh-CN"/>
                        </w:rPr>
                        <w:t>_w</w:t>
                      </w:r>
                      <w:r w:rsidRPr="00362E0B">
                        <w:rPr>
                          <w:color w:val="800000"/>
                          <w:lang w:eastAsia="zh-CN"/>
                        </w:rPr>
                        <w:t>enqian@sina.com</w:t>
                      </w:r>
                    </w:p>
                    <w:p w14:paraId="3A4374A8" w14:textId="77777777" w:rsidR="00362E0B" w:rsidRPr="004C09DF" w:rsidRDefault="00362E0B" w:rsidP="004C09DF">
                      <w:pPr>
                        <w:pStyle w:val="a7"/>
                        <w:rPr>
                          <w:rFonts w:hint="eastAsia"/>
                          <w:b/>
                          <w:color w:val="800000"/>
                          <w:lang w:eastAsia="zh-CN"/>
                        </w:rPr>
                      </w:pPr>
                    </w:p>
                  </w:txbxContent>
                </v:textbox>
              </v:shape>
            </w:pict>
          </mc:Fallback>
        </mc:AlternateContent>
      </w:r>
      <w:r>
        <w:rPr>
          <w:noProof/>
          <w:lang w:eastAsia="zh-CN"/>
        </w:rPr>
        <mc:AlternateContent>
          <mc:Choice Requires="wps">
            <w:drawing>
              <wp:anchor distT="0" distB="0" distL="114300" distR="114300" simplePos="0" relativeHeight="251657216" behindDoc="0" locked="0" layoutInCell="1" allowOverlap="1" wp14:anchorId="574378C2" wp14:editId="527C8151">
                <wp:simplePos x="0" y="0"/>
                <wp:positionH relativeFrom="column">
                  <wp:posOffset>-1143000</wp:posOffset>
                </wp:positionH>
                <wp:positionV relativeFrom="paragraph">
                  <wp:posOffset>-382270</wp:posOffset>
                </wp:positionV>
                <wp:extent cx="2176145" cy="297180"/>
                <wp:effectExtent l="4445" t="0" r="635" b="0"/>
                <wp:wrapNone/>
                <wp:docPr id="5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14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A8E63" w14:textId="72FCF62A" w:rsidR="005A0D4E" w:rsidRPr="005156BF" w:rsidRDefault="005A0D4E" w:rsidP="00E32D20">
                            <w:pPr>
                              <w:pStyle w:val="a8"/>
                              <w:ind w:firstLineChars="96" w:firstLine="229"/>
                              <w:rPr>
                                <w:b/>
                                <w:bCs/>
                                <w:color w:val="800000"/>
                                <w:lang w:eastAsia="zh-CN"/>
                              </w:rPr>
                            </w:pPr>
                            <w:r>
                              <w:rPr>
                                <w:b/>
                                <w:bCs/>
                                <w:color w:val="800000"/>
                                <w:lang w:eastAsia="zh-CN"/>
                              </w:rPr>
                              <w:t xml:space="preserve">Working Paper No. </w:t>
                            </w:r>
                            <w:r>
                              <w:rPr>
                                <w:rFonts w:hint="eastAsia"/>
                                <w:b/>
                                <w:bCs/>
                                <w:color w:val="800000"/>
                                <w:lang w:eastAsia="zh-CN"/>
                              </w:rPr>
                              <w:t>2</w:t>
                            </w:r>
                            <w:r>
                              <w:rPr>
                                <w:b/>
                                <w:bCs/>
                                <w:color w:val="800000"/>
                                <w:lang w:eastAsia="zh-CN"/>
                              </w:rPr>
                              <w:t>0</w:t>
                            </w:r>
                            <w:r>
                              <w:rPr>
                                <w:rFonts w:hint="eastAsia"/>
                                <w:b/>
                                <w:bCs/>
                                <w:color w:val="800000"/>
                                <w:lang w:eastAsia="zh-CN"/>
                              </w:rPr>
                              <w:t>1</w:t>
                            </w:r>
                            <w:r>
                              <w:rPr>
                                <w:b/>
                                <w:bCs/>
                                <w:color w:val="800000"/>
                                <w:lang w:eastAsia="zh-CN"/>
                              </w:rPr>
                              <w:t>6</w:t>
                            </w:r>
                            <w:r>
                              <w:rPr>
                                <w:rFonts w:hint="eastAsia"/>
                                <w:b/>
                                <w:bCs/>
                                <w:color w:val="800000"/>
                                <w:lang w:eastAsia="zh-CN"/>
                              </w:rPr>
                              <w:t>W</w:t>
                            </w:r>
                            <w:r>
                              <w:rPr>
                                <w:b/>
                                <w:bCs/>
                                <w:color w:val="800000"/>
                                <w:lang w:eastAsia="zh-CN"/>
                              </w:rPr>
                              <w:t>0</w:t>
                            </w:r>
                            <w:r>
                              <w:rPr>
                                <w:rFonts w:hint="eastAsia"/>
                                <w:b/>
                                <w:bCs/>
                                <w:color w:val="800000"/>
                                <w:lang w:eastAsia="zh-CN"/>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89.95pt;margin-top:-30.05pt;width:171.3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" filled="f" stroked="f">
                <v:textbox>
                  <w:txbxContent>
                    <w:p w14:paraId="3EDA8E63" w14:textId="72FCF62A" w:rsidR="005A0D4E" w:rsidRPr="005156BF" w:rsidRDefault="005A0D4E" w:rsidP="00E32D20">
                      <w:pPr>
                        <w:pStyle w:val="a8"/>
                        <w:ind w:firstLineChars="96" w:firstLine="229"/>
                        <w:rPr>
                          <w:b/>
                          <w:bCs/>
                          <w:color w:val="800000"/>
                          <w:lang w:eastAsia="zh-CN"/>
                        </w:rPr>
                      </w:pPr>
                      <w:r>
                        <w:rPr>
                          <w:b/>
                          <w:bCs/>
                          <w:color w:val="800000"/>
                          <w:lang w:eastAsia="zh-CN"/>
                        </w:rPr>
                        <w:t xml:space="preserve">Working Paper No. </w:t>
                      </w:r>
                      <w:r>
                        <w:rPr>
                          <w:rFonts w:hint="eastAsia"/>
                          <w:b/>
                          <w:bCs/>
                          <w:color w:val="800000"/>
                          <w:lang w:eastAsia="zh-CN"/>
                        </w:rPr>
                        <w:t>2</w:t>
                      </w:r>
                      <w:r>
                        <w:rPr>
                          <w:b/>
                          <w:bCs/>
                          <w:color w:val="800000"/>
                          <w:lang w:eastAsia="zh-CN"/>
                        </w:rPr>
                        <w:t>0</w:t>
                      </w:r>
                      <w:r>
                        <w:rPr>
                          <w:rFonts w:hint="eastAsia"/>
                          <w:b/>
                          <w:bCs/>
                          <w:color w:val="800000"/>
                          <w:lang w:eastAsia="zh-CN"/>
                        </w:rPr>
                        <w:t>1</w:t>
                      </w:r>
                      <w:r>
                        <w:rPr>
                          <w:b/>
                          <w:bCs/>
                          <w:color w:val="800000"/>
                          <w:lang w:eastAsia="zh-CN"/>
                        </w:rPr>
                        <w:t>6</w:t>
                      </w:r>
                      <w:r>
                        <w:rPr>
                          <w:rFonts w:hint="eastAsia"/>
                          <w:b/>
                          <w:bCs/>
                          <w:color w:val="800000"/>
                          <w:lang w:eastAsia="zh-CN"/>
                        </w:rPr>
                        <w:t>W</w:t>
                      </w:r>
                      <w:r>
                        <w:rPr>
                          <w:b/>
                          <w:bCs/>
                          <w:color w:val="800000"/>
                          <w:lang w:eastAsia="zh-CN"/>
                        </w:rPr>
                        <w:t>0</w:t>
                      </w:r>
                      <w:r>
                        <w:rPr>
                          <w:rFonts w:hint="eastAsia"/>
                          <w:b/>
                          <w:bCs/>
                          <w:color w:val="800000"/>
                          <w:lang w:eastAsia="zh-CN"/>
                        </w:rPr>
                        <w:t>2</w:t>
                      </w:r>
                    </w:p>
                  </w:txbxContent>
                </v:textbox>
              </v:shape>
            </w:pict>
          </mc:Fallback>
        </mc:AlternateContent>
      </w:r>
      <w:r>
        <w:rPr>
          <w:noProof/>
          <w:lang w:eastAsia="zh-CN"/>
        </w:rPr>
        <w:drawing>
          <wp:anchor distT="0" distB="0" distL="114300" distR="114300" simplePos="0" relativeHeight="251656192" behindDoc="0" locked="0" layoutInCell="1" allowOverlap="1" wp14:anchorId="0D79EE46" wp14:editId="19B6B1D9">
            <wp:simplePos x="0" y="0"/>
            <wp:positionH relativeFrom="column">
              <wp:posOffset>-1828800</wp:posOffset>
            </wp:positionH>
            <wp:positionV relativeFrom="paragraph">
              <wp:posOffset>-1670050</wp:posOffset>
            </wp:positionV>
            <wp:extent cx="6972300" cy="1188720"/>
            <wp:effectExtent l="0" t="0" r="0" b="0"/>
            <wp:wrapNone/>
            <wp:docPr id="49" name="图片 1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72300" cy="1188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D5C237" w14:textId="77777777" w:rsidR="007B6455" w:rsidRDefault="007B6455" w:rsidP="007B6455"/>
    <w:p w14:paraId="17886DA2" w14:textId="77777777" w:rsidR="00337E17" w:rsidRPr="00BA3025" w:rsidRDefault="00337E17" w:rsidP="00CB4298">
      <w:pPr>
        <w:jc w:val="center"/>
        <w:rPr>
          <w:vertAlign w:val="superscript"/>
        </w:rPr>
      </w:pPr>
    </w:p>
    <w:p w14:paraId="67E2956C" w14:textId="77777777" w:rsidR="00F03E5B" w:rsidRPr="00BA3025" w:rsidRDefault="00F03E5B" w:rsidP="00F03E5B">
      <w:pPr>
        <w:rPr>
          <w:vertAlign w:val="superscript"/>
        </w:rPr>
      </w:pPr>
      <w:r w:rsidRPr="00BA3025">
        <w:rPr>
          <w:rFonts w:hint="eastAsia"/>
          <w:vertAlign w:val="superscript"/>
        </w:rPr>
        <w:t xml:space="preserve"> </w:t>
      </w:r>
    </w:p>
    <w:p w14:paraId="7A8B4B90" w14:textId="77777777" w:rsidR="00BA3025" w:rsidRDefault="00BA3025" w:rsidP="00F03E5B"/>
    <w:p w14:paraId="4CDED2C4" w14:textId="77777777" w:rsidR="0088174C" w:rsidRDefault="0088174C" w:rsidP="0088174C">
      <w:pPr>
        <w:snapToGrid w:val="0"/>
        <w:rPr>
          <w:rFonts w:ascii="宋体" w:hAnsi="宋体"/>
          <w:b/>
        </w:rPr>
      </w:pPr>
    </w:p>
    <w:p w14:paraId="1B4881FF" w14:textId="77777777" w:rsidR="00BA3025" w:rsidRDefault="00BA3025" w:rsidP="00BA3025">
      <w:pPr>
        <w:spacing w:line="360" w:lineRule="auto"/>
        <w:jc w:val="center"/>
      </w:pPr>
    </w:p>
    <w:p w14:paraId="47AFD07A" w14:textId="77777777" w:rsidR="00594F16" w:rsidRDefault="00594F16" w:rsidP="008328F8">
      <w:pPr>
        <w:rPr>
          <w:rFonts w:ascii="Calibri" w:hAnsi="Calibri"/>
          <w:b/>
          <w:szCs w:val="20"/>
        </w:rPr>
      </w:pPr>
    </w:p>
    <w:p w14:paraId="3EDDC50B" w14:textId="77777777" w:rsidR="00E10050" w:rsidRDefault="00E10050" w:rsidP="008328F8">
      <w:pPr>
        <w:rPr>
          <w:rFonts w:ascii="Calibri" w:hAnsi="Calibri"/>
          <w:b/>
          <w:szCs w:val="20"/>
        </w:rPr>
      </w:pPr>
    </w:p>
    <w:p w14:paraId="5CDCFFFA" w14:textId="77777777" w:rsidR="00E10050" w:rsidRDefault="00E10050" w:rsidP="008328F8">
      <w:pPr>
        <w:rPr>
          <w:rFonts w:ascii="Calibri" w:hAnsi="Calibri"/>
          <w:b/>
          <w:szCs w:val="20"/>
        </w:rPr>
      </w:pPr>
    </w:p>
    <w:p w14:paraId="2554F084" w14:textId="77777777" w:rsidR="009F1065" w:rsidRDefault="009F1065" w:rsidP="008328F8">
      <w:pPr>
        <w:rPr>
          <w:rFonts w:ascii="Calibri" w:hAnsi="Calibri"/>
          <w:b/>
          <w:szCs w:val="20"/>
        </w:rPr>
      </w:pPr>
    </w:p>
    <w:p w14:paraId="469BB17F" w14:textId="77777777" w:rsidR="009F1065" w:rsidRDefault="009F1065" w:rsidP="008328F8">
      <w:pPr>
        <w:rPr>
          <w:rFonts w:ascii="Calibri" w:hAnsi="Calibri"/>
          <w:b/>
          <w:szCs w:val="20"/>
        </w:rPr>
      </w:pPr>
    </w:p>
    <w:p w14:paraId="5DF54228" w14:textId="77777777" w:rsidR="00290BC0" w:rsidRDefault="00290BC0" w:rsidP="008328F8">
      <w:pPr>
        <w:rPr>
          <w:rFonts w:ascii="Calibri" w:hAnsi="Calibri"/>
          <w:b/>
          <w:szCs w:val="20"/>
        </w:rPr>
      </w:pPr>
    </w:p>
    <w:p w14:paraId="24F7DD63" w14:textId="3588A207" w:rsidR="00162854" w:rsidRPr="005A0D4E" w:rsidRDefault="005A0D4E" w:rsidP="005A0D4E">
      <w:pPr>
        <w:ind w:leftChars="-137" w:left="-6" w:hangingChars="87" w:hanging="282"/>
        <w:jc w:val="center"/>
        <w:rPr>
          <w:rFonts w:ascii="黑体" w:eastAsia="黑体" w:hAnsi="黑体" w:hint="eastAsia"/>
          <w:b/>
          <w:sz w:val="30"/>
          <w:szCs w:val="30"/>
        </w:rPr>
      </w:pPr>
      <w:r w:rsidRPr="005A0D4E">
        <w:rPr>
          <w:rFonts w:ascii="黑体" w:eastAsia="黑体" w:hAnsi="黑体" w:hint="eastAsia"/>
          <w:b/>
          <w:sz w:val="30"/>
          <w:szCs w:val="30"/>
        </w:rPr>
        <w:t>欧洲投资银行的中小企业贷款业务及其对亚投行的启示</w:t>
      </w:r>
    </w:p>
    <w:p w14:paraId="53F4E52C" w14:textId="77777777" w:rsidR="0046399F" w:rsidRPr="0046399F" w:rsidRDefault="0046399F" w:rsidP="00162854">
      <w:pPr>
        <w:jc w:val="center"/>
        <w:rPr>
          <w:rFonts w:ascii="黑体" w:eastAsia="黑体" w:hAnsi="黑体"/>
          <w:b/>
          <w:bCs/>
          <w:sz w:val="32"/>
          <w:szCs w:val="32"/>
        </w:rPr>
      </w:pPr>
    </w:p>
    <w:p w14:paraId="7508AA63" w14:textId="77777777" w:rsidR="00A022AA" w:rsidRDefault="00A022AA" w:rsidP="00A022AA">
      <w:pPr>
        <w:pStyle w:val="a7"/>
        <w:rPr>
          <w:lang w:eastAsia="zh-CN"/>
        </w:rPr>
      </w:pPr>
    </w:p>
    <w:p w14:paraId="1FC4F5A6"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中小企业是全球经济的重要引擎，对</w:t>
      </w:r>
      <w:bookmarkStart w:id="0" w:name="_GoBack"/>
      <w:bookmarkEnd w:id="0"/>
      <w:r w:rsidRPr="005A0D4E">
        <w:rPr>
          <w:rFonts w:asciiTheme="minorEastAsia" w:eastAsiaTheme="minorEastAsia" w:hAnsiTheme="minorEastAsia" w:hint="eastAsia"/>
          <w:szCs w:val="21"/>
        </w:rPr>
        <w:t>于拉动增长、促进就业、激励创新具有举足轻重的作用，因此成为多边开发银行越来越重视的业务对象。欧洲投资银行（European Investment Bank，以下简称“欧投行”）是世界上资产规模最大的多边开发银行，长期将中小企业作为优先业务领域，已经开发出针对中小企业的包含贷款、股权、担保等多元化产品体系。其中，面向中小企业的贷款业务主要通过“全球贷款”（Global Loan）运作，该模式从上世纪60年代以来不断发展和壮大，为其他多边开发银行提供了有益的参考。</w:t>
      </w:r>
    </w:p>
    <w:p w14:paraId="7E5418A9" w14:textId="77777777" w:rsidR="005A0D4E" w:rsidRDefault="005A0D4E" w:rsidP="005A0D4E">
      <w:pPr>
        <w:spacing w:line="360" w:lineRule="auto"/>
        <w:rPr>
          <w:rFonts w:asciiTheme="minorEastAsia" w:eastAsiaTheme="minorEastAsia" w:hAnsiTheme="minorEastAsia"/>
          <w:b/>
          <w:szCs w:val="21"/>
        </w:rPr>
      </w:pPr>
    </w:p>
    <w:p w14:paraId="6210B6F2" w14:textId="77777777" w:rsidR="005A0D4E" w:rsidRPr="005A0D4E" w:rsidRDefault="005A0D4E" w:rsidP="005A0D4E">
      <w:pPr>
        <w:spacing w:line="360" w:lineRule="auto"/>
        <w:rPr>
          <w:rFonts w:asciiTheme="minorEastAsia" w:eastAsiaTheme="minorEastAsia" w:hAnsiTheme="minorEastAsia"/>
          <w:b/>
          <w:szCs w:val="21"/>
        </w:rPr>
      </w:pPr>
      <w:r w:rsidRPr="005A0D4E">
        <w:rPr>
          <w:rFonts w:asciiTheme="minorEastAsia" w:eastAsiaTheme="minorEastAsia" w:hAnsiTheme="minorEastAsia" w:hint="eastAsia"/>
          <w:b/>
          <w:szCs w:val="21"/>
        </w:rPr>
        <w:t>一、欧投行中小企业贷款业务的发展历程</w:t>
      </w:r>
    </w:p>
    <w:p w14:paraId="3647535B" w14:textId="77777777" w:rsidR="005A0D4E" w:rsidRPr="005A0D4E" w:rsidRDefault="005A0D4E" w:rsidP="005A0D4E">
      <w:pPr>
        <w:spacing w:line="360" w:lineRule="auto"/>
        <w:ind w:firstLineChars="202" w:firstLine="424"/>
        <w:rPr>
          <w:rFonts w:asciiTheme="minorEastAsia" w:eastAsiaTheme="minorEastAsia" w:hAnsiTheme="minorEastAsia"/>
          <w:szCs w:val="21"/>
        </w:rPr>
      </w:pPr>
      <w:r w:rsidRPr="005A0D4E">
        <w:rPr>
          <w:rFonts w:asciiTheme="minorEastAsia" w:eastAsiaTheme="minorEastAsia" w:hAnsiTheme="minorEastAsia" w:hint="eastAsia"/>
          <w:szCs w:val="21"/>
        </w:rPr>
        <w:t>欧投行成立于1958年，是由欧共体国家出资设立的以促进欧洲一体化为目标的多边开发银行，成立之初主要为大型基础设施和工业发展项目提供贷款。1963年，欧投行开始发放额度低于200万欧元的小额贷款，从而将中小企业纳入其贷款对象（但不限于中小企业）。对于这些小额贷款，欧投行起初在北欧和南欧采取了不同的运作方式：在经济繁荣、工业化程度较高的北欧地区，小额贷款被直接发放给申请企业，与大型贷款的业务模式一样；在经济相对落后的南欧地区，欧投行则同时采取了贷款给申请企业的直接方式以及将资金拨付给地方中介机构（通常是各国的开发银行和商业银行）并由后者转贷给企业的间接方式。</w:t>
      </w:r>
    </w:p>
    <w:p w14:paraId="6955A40C"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上世纪60年代末，欧投行更加充分地意识到中小企业在区域经济发展中的重要</w:t>
      </w:r>
      <w:r w:rsidRPr="005A0D4E">
        <w:rPr>
          <w:rFonts w:asciiTheme="minorEastAsia" w:eastAsiaTheme="minorEastAsia" w:hAnsiTheme="minorEastAsia" w:hint="eastAsia"/>
          <w:szCs w:val="21"/>
        </w:rPr>
        <w:lastRenderedPageBreak/>
        <w:t>性，改革了中小企业贷款业务并确立了“全球贷款”的模式。在1968年的年度报告中，欧投行指出“中小企业是欧共体区域政策的重要部分，能够有效促进经济的高速发展并改善区域经济结构。对于这些项目的支持有助于拓展欧投行对区域经济的干预，以更加迅捷、有效的措施推动区域的工业化进程”。随着中小企业贷款项目的增加，欧投行的评估人手出现明显短缺，促使其在1968年全面制度化在欧洲南部地区已经实行的间接贷款方式，并将其称之为“全球贷款”（</w:t>
      </w:r>
      <w:proofErr w:type="spellStart"/>
      <w:r w:rsidRPr="005A0D4E">
        <w:rPr>
          <w:rFonts w:asciiTheme="minorEastAsia" w:eastAsiaTheme="minorEastAsia" w:hAnsiTheme="minorEastAsia" w:hint="eastAsia"/>
          <w:szCs w:val="21"/>
        </w:rPr>
        <w:t>Lewenhak</w:t>
      </w:r>
      <w:proofErr w:type="spellEnd"/>
      <w:r w:rsidRPr="005A0D4E">
        <w:rPr>
          <w:rFonts w:asciiTheme="minorEastAsia" w:eastAsiaTheme="minorEastAsia" w:hAnsiTheme="minorEastAsia" w:hint="eastAsia"/>
          <w:szCs w:val="21"/>
        </w:rPr>
        <w:t>, 2012）。在这一业务模式下，欧投行向各国的金融中介开放一定的信贷额度，再由这些机构将资金发放给自有的企业客户。</w:t>
      </w:r>
    </w:p>
    <w:p w14:paraId="15833FF9"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kern w:val="0"/>
          <w:szCs w:val="21"/>
        </w:rPr>
        <w:t>此后，欧投行不断致力于强化“全球贷款”对中小企业的支持。</w:t>
      </w:r>
      <w:r w:rsidRPr="005A0D4E">
        <w:rPr>
          <w:rFonts w:asciiTheme="minorEastAsia" w:eastAsiaTheme="minorEastAsia" w:hAnsiTheme="minorEastAsia" w:hint="eastAsia"/>
          <w:szCs w:val="21"/>
        </w:rPr>
        <w:t>1980年，欧投行宣布“全球贷款”主要用于支持净固定资产不超过3000万欧元的项目发起人，而且新项目的投资成本不超过1200万欧元。在符合上述条件的企业中，欧投行更是对雇员少于500人且大型企业股东持股比例不超过公司总股本1/3的独立法人给予永久的优先级（</w:t>
      </w:r>
      <w:proofErr w:type="spellStart"/>
      <w:r w:rsidRPr="005A0D4E">
        <w:rPr>
          <w:rFonts w:asciiTheme="minorEastAsia" w:eastAsiaTheme="minorEastAsia" w:hAnsiTheme="minorEastAsia" w:hint="eastAsia"/>
          <w:szCs w:val="21"/>
        </w:rPr>
        <w:t>Lewenhak</w:t>
      </w:r>
      <w:proofErr w:type="spellEnd"/>
      <w:r w:rsidRPr="005A0D4E">
        <w:rPr>
          <w:rFonts w:asciiTheme="minorEastAsia" w:eastAsiaTheme="minorEastAsia" w:hAnsiTheme="minorEastAsia" w:hint="eastAsia"/>
          <w:szCs w:val="21"/>
        </w:rPr>
        <w:t>, 2012）。2000年以来，欧投行开始与更加广泛的金融中介合作以服务于更多的中小企业，并要求中介机构将“全球贷款”的优势传递到中小企业。2005年，欧投行将“支持中小企业”（</w:t>
      </w:r>
      <w:r w:rsidRPr="005A0D4E">
        <w:rPr>
          <w:rFonts w:asciiTheme="minorEastAsia" w:eastAsiaTheme="minorEastAsia" w:hAnsiTheme="minorEastAsia"/>
          <w:szCs w:val="21"/>
        </w:rPr>
        <w:t>Support for SMEs</w:t>
      </w:r>
      <w:r w:rsidRPr="005A0D4E">
        <w:rPr>
          <w:rFonts w:asciiTheme="minorEastAsia" w:eastAsiaTheme="minorEastAsia" w:hAnsiTheme="minorEastAsia" w:hint="eastAsia"/>
          <w:szCs w:val="21"/>
        </w:rPr>
        <w:t>）纳入其五个优先业务领域，将更多资源用于对中小企业的服务</w:t>
      </w:r>
      <w:r w:rsidRPr="005A0D4E">
        <w:rPr>
          <w:rFonts w:asciiTheme="minorEastAsia" w:eastAsiaTheme="minorEastAsia" w:hAnsiTheme="minorEastAsia"/>
          <w:szCs w:val="21"/>
        </w:rPr>
        <w:t>（EIB</w:t>
      </w:r>
      <w:r w:rsidRPr="005A0D4E">
        <w:rPr>
          <w:rFonts w:asciiTheme="minorEastAsia" w:eastAsiaTheme="minorEastAsia" w:hAnsiTheme="minorEastAsia" w:hint="eastAsia"/>
          <w:szCs w:val="21"/>
        </w:rPr>
        <w:t>, 2013</w:t>
      </w:r>
      <w:r w:rsidRPr="005A0D4E">
        <w:rPr>
          <w:rFonts w:asciiTheme="minorEastAsia" w:eastAsiaTheme="minorEastAsia" w:hAnsiTheme="minorEastAsia"/>
          <w:szCs w:val="21"/>
        </w:rPr>
        <w:t>）。</w:t>
      </w:r>
    </w:p>
    <w:p w14:paraId="6739DE3D"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szCs w:val="21"/>
        </w:rPr>
        <w:t>如今，</w:t>
      </w:r>
      <w:r w:rsidRPr="005A0D4E">
        <w:rPr>
          <w:rFonts w:asciiTheme="minorEastAsia" w:eastAsiaTheme="minorEastAsia" w:hAnsiTheme="minorEastAsia" w:hint="eastAsia"/>
          <w:szCs w:val="21"/>
        </w:rPr>
        <w:t>“</w:t>
      </w:r>
      <w:r w:rsidRPr="005A0D4E">
        <w:rPr>
          <w:rFonts w:asciiTheme="minorEastAsia" w:eastAsiaTheme="minorEastAsia" w:hAnsiTheme="minorEastAsia"/>
          <w:szCs w:val="21"/>
        </w:rPr>
        <w:t>全球贷款</w:t>
      </w:r>
      <w:r w:rsidRPr="005A0D4E">
        <w:rPr>
          <w:rFonts w:asciiTheme="minorEastAsia" w:eastAsiaTheme="minorEastAsia" w:hAnsiTheme="minorEastAsia" w:hint="eastAsia"/>
          <w:szCs w:val="21"/>
        </w:rPr>
        <w:t>”已成为欧投行最重要的贷款业务之一，并为欧投行良好的经营业绩做出了贡献。2014年，欧投行的贷款存量金额为</w:t>
      </w:r>
      <w:r w:rsidRPr="005A0D4E">
        <w:rPr>
          <w:rFonts w:asciiTheme="minorEastAsia" w:eastAsiaTheme="minorEastAsia" w:hAnsiTheme="minorEastAsia"/>
          <w:szCs w:val="21"/>
        </w:rPr>
        <w:t>4497亿欧元，其中通过</w:t>
      </w:r>
      <w:r w:rsidRPr="005A0D4E">
        <w:rPr>
          <w:rFonts w:asciiTheme="minorEastAsia" w:eastAsiaTheme="minorEastAsia" w:hAnsiTheme="minorEastAsia" w:hint="eastAsia"/>
          <w:szCs w:val="21"/>
        </w:rPr>
        <w:t>“</w:t>
      </w:r>
      <w:r w:rsidRPr="005A0D4E">
        <w:rPr>
          <w:rFonts w:asciiTheme="minorEastAsia" w:eastAsiaTheme="minorEastAsia" w:hAnsiTheme="minorEastAsia"/>
          <w:szCs w:val="21"/>
        </w:rPr>
        <w:t>全球贷款</w:t>
      </w:r>
      <w:r w:rsidRPr="005A0D4E">
        <w:rPr>
          <w:rFonts w:asciiTheme="minorEastAsia" w:eastAsiaTheme="minorEastAsia" w:hAnsiTheme="minorEastAsia" w:hint="eastAsia"/>
          <w:szCs w:val="21"/>
        </w:rPr>
        <w:t>”</w:t>
      </w:r>
      <w:r w:rsidRPr="005A0D4E">
        <w:rPr>
          <w:rFonts w:asciiTheme="minorEastAsia" w:eastAsiaTheme="minorEastAsia" w:hAnsiTheme="minorEastAsia"/>
          <w:szCs w:val="21"/>
        </w:rPr>
        <w:t>发放1039亿欧元，占比达到23.1%，成为仅次于交通部门（份额为28.7%）的第二大贷款领域（EIB</w:t>
      </w:r>
      <w:r w:rsidRPr="005A0D4E">
        <w:rPr>
          <w:rFonts w:asciiTheme="minorEastAsia" w:eastAsiaTheme="minorEastAsia" w:hAnsiTheme="minorEastAsia" w:hint="eastAsia"/>
          <w:szCs w:val="21"/>
        </w:rPr>
        <w:t>, 2014</w:t>
      </w:r>
      <w:r w:rsidRPr="005A0D4E">
        <w:rPr>
          <w:rFonts w:asciiTheme="minorEastAsia" w:eastAsiaTheme="minorEastAsia" w:hAnsiTheme="minorEastAsia"/>
          <w:szCs w:val="21"/>
        </w:rPr>
        <w:t>）。与其他多边开发银行相比，欧投行展现出</w:t>
      </w:r>
      <w:r w:rsidRPr="005A0D4E">
        <w:rPr>
          <w:rFonts w:asciiTheme="minorEastAsia" w:eastAsiaTheme="minorEastAsia" w:hAnsiTheme="minorEastAsia" w:hint="eastAsia"/>
          <w:szCs w:val="21"/>
        </w:rPr>
        <w:t>良好</w:t>
      </w:r>
      <w:r w:rsidRPr="005A0D4E">
        <w:rPr>
          <w:rFonts w:asciiTheme="minorEastAsia" w:eastAsiaTheme="minorEastAsia" w:hAnsiTheme="minorEastAsia"/>
          <w:szCs w:val="21"/>
        </w:rPr>
        <w:t>的经营业绩（如表1所示），这在一定程度上也得益于</w:t>
      </w:r>
      <w:r w:rsidRPr="005A0D4E">
        <w:rPr>
          <w:rFonts w:asciiTheme="minorEastAsia" w:eastAsiaTheme="minorEastAsia" w:hAnsiTheme="minorEastAsia" w:hint="eastAsia"/>
          <w:szCs w:val="21"/>
        </w:rPr>
        <w:t>“</w:t>
      </w:r>
      <w:r w:rsidRPr="005A0D4E">
        <w:rPr>
          <w:rFonts w:asciiTheme="minorEastAsia" w:eastAsiaTheme="minorEastAsia" w:hAnsiTheme="minorEastAsia"/>
          <w:szCs w:val="21"/>
        </w:rPr>
        <w:t>全球贷款</w:t>
      </w:r>
      <w:r w:rsidRPr="005A0D4E">
        <w:rPr>
          <w:rFonts w:asciiTheme="minorEastAsia" w:eastAsiaTheme="minorEastAsia" w:hAnsiTheme="minorEastAsia" w:hint="eastAsia"/>
          <w:szCs w:val="21"/>
        </w:rPr>
        <w:t>”</w:t>
      </w:r>
      <w:r w:rsidRPr="005A0D4E">
        <w:rPr>
          <w:rFonts w:asciiTheme="minorEastAsia" w:eastAsiaTheme="minorEastAsia" w:hAnsiTheme="minorEastAsia"/>
          <w:szCs w:val="21"/>
        </w:rPr>
        <w:t>业务更贴近市场化的利率和几乎可以忽略不计的不良贷款率。</w:t>
      </w:r>
      <w:r w:rsidRPr="005A0D4E">
        <w:rPr>
          <w:rFonts w:asciiTheme="minorEastAsia" w:eastAsiaTheme="minorEastAsia" w:hAnsiTheme="minorEastAsia" w:hint="eastAsia"/>
          <w:szCs w:val="21"/>
        </w:rPr>
        <w:t>特别值得一提的是，“全球贷款”采取金融中介转贷的方式，由金融中介负责贷款的具体发放流程并独自承担风险，有效降低了欧投行中小企业贷款业务的成本和风险。</w:t>
      </w:r>
    </w:p>
    <w:p w14:paraId="18ADB245" w14:textId="77777777" w:rsidR="00D2614A" w:rsidRDefault="00D2614A" w:rsidP="005A0D4E">
      <w:pPr>
        <w:spacing w:beforeLines="50" w:before="120" w:line="360" w:lineRule="auto"/>
        <w:rPr>
          <w:rFonts w:asciiTheme="minorEastAsia" w:eastAsiaTheme="minorEastAsia" w:hAnsiTheme="minorEastAsia"/>
          <w:szCs w:val="21"/>
        </w:rPr>
      </w:pPr>
    </w:p>
    <w:p w14:paraId="4C843F1A" w14:textId="77777777" w:rsidR="00D2614A" w:rsidRDefault="00D2614A" w:rsidP="005A0D4E">
      <w:pPr>
        <w:spacing w:beforeLines="50" w:before="120" w:line="360" w:lineRule="auto"/>
        <w:rPr>
          <w:rFonts w:asciiTheme="minorEastAsia" w:eastAsiaTheme="minorEastAsia" w:hAnsiTheme="minorEastAsia" w:hint="eastAsia"/>
          <w:szCs w:val="21"/>
        </w:rPr>
      </w:pPr>
    </w:p>
    <w:p w14:paraId="55BCC3FA" w14:textId="77777777" w:rsidR="00362E0B" w:rsidRDefault="00362E0B" w:rsidP="005A0D4E">
      <w:pPr>
        <w:spacing w:beforeLines="50" w:before="120" w:line="360" w:lineRule="auto"/>
        <w:rPr>
          <w:rFonts w:asciiTheme="minorEastAsia" w:eastAsiaTheme="minorEastAsia" w:hAnsiTheme="minorEastAsia" w:hint="eastAsia"/>
          <w:szCs w:val="21"/>
        </w:rPr>
      </w:pPr>
    </w:p>
    <w:p w14:paraId="45B73B11" w14:textId="77777777" w:rsidR="00362E0B" w:rsidRDefault="00362E0B" w:rsidP="005A0D4E">
      <w:pPr>
        <w:spacing w:beforeLines="50" w:before="120" w:line="360" w:lineRule="auto"/>
        <w:rPr>
          <w:rFonts w:asciiTheme="minorEastAsia" w:eastAsiaTheme="minorEastAsia" w:hAnsiTheme="minorEastAsia" w:hint="eastAsia"/>
          <w:szCs w:val="21"/>
        </w:rPr>
      </w:pPr>
    </w:p>
    <w:p w14:paraId="320FBF80" w14:textId="77777777" w:rsidR="005A0D4E" w:rsidRPr="005A0D4E" w:rsidRDefault="005A0D4E" w:rsidP="005A0D4E">
      <w:pPr>
        <w:spacing w:beforeLines="50" w:before="120" w:line="360" w:lineRule="auto"/>
        <w:rPr>
          <w:rFonts w:asciiTheme="minorEastAsia" w:eastAsiaTheme="minorEastAsia" w:hAnsiTheme="minorEastAsia"/>
          <w:szCs w:val="21"/>
        </w:rPr>
      </w:pPr>
      <w:r w:rsidRPr="005A0D4E">
        <w:rPr>
          <w:rFonts w:asciiTheme="minorEastAsia" w:eastAsiaTheme="minorEastAsia" w:hAnsiTheme="minorEastAsia" w:hint="eastAsia"/>
          <w:szCs w:val="21"/>
        </w:rPr>
        <w:lastRenderedPageBreak/>
        <w:t>表1  三大多边开发银行的经营业绩</w:t>
      </w:r>
    </w:p>
    <w:tbl>
      <w:tblPr>
        <w:tblW w:w="7622" w:type="dxa"/>
        <w:jc w:val="center"/>
        <w:tblInd w:w="-427" w:type="dxa"/>
        <w:tblLook w:val="04A0" w:firstRow="1" w:lastRow="0" w:firstColumn="1" w:lastColumn="0" w:noHBand="0" w:noVBand="1"/>
      </w:tblPr>
      <w:tblGrid>
        <w:gridCol w:w="1862"/>
        <w:gridCol w:w="1981"/>
        <w:gridCol w:w="2076"/>
        <w:gridCol w:w="1703"/>
      </w:tblGrid>
      <w:tr w:rsidR="00D2614A" w:rsidRPr="005A0D4E" w14:paraId="23221EC0" w14:textId="77777777" w:rsidTr="00D2614A">
        <w:trPr>
          <w:trHeight w:val="90"/>
          <w:jc w:val="center"/>
        </w:trPr>
        <w:tc>
          <w:tcPr>
            <w:tcW w:w="762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25636"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color w:val="000000"/>
                <w:kern w:val="0"/>
                <w:szCs w:val="21"/>
              </w:rPr>
              <w:t>2015</w:t>
            </w:r>
            <w:r w:rsidRPr="005A0D4E">
              <w:rPr>
                <w:rFonts w:asciiTheme="minorEastAsia" w:eastAsiaTheme="minorEastAsia" w:hAnsiTheme="minorEastAsia" w:cs="宋体" w:hint="eastAsia"/>
                <w:color w:val="000000"/>
                <w:kern w:val="0"/>
                <w:szCs w:val="21"/>
              </w:rPr>
              <w:t>年</w:t>
            </w:r>
          </w:p>
        </w:tc>
      </w:tr>
      <w:tr w:rsidR="00D2614A" w:rsidRPr="005A0D4E" w14:paraId="40DA5C1E" w14:textId="77777777" w:rsidTr="00D2614A">
        <w:trPr>
          <w:trHeight w:val="218"/>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6F026A03" w14:textId="0875AA9B"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p>
        </w:tc>
        <w:tc>
          <w:tcPr>
            <w:tcW w:w="1981" w:type="dxa"/>
            <w:tcBorders>
              <w:top w:val="nil"/>
              <w:left w:val="nil"/>
              <w:bottom w:val="single" w:sz="4" w:space="0" w:color="auto"/>
              <w:right w:val="single" w:sz="4" w:space="0" w:color="auto"/>
            </w:tcBorders>
            <w:shd w:val="clear" w:color="auto" w:fill="auto"/>
            <w:vAlign w:val="center"/>
            <w:hideMark/>
          </w:tcPr>
          <w:p w14:paraId="4AA9F31E"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欧投行（</w:t>
            </w:r>
            <w:r w:rsidRPr="005A0D4E">
              <w:rPr>
                <w:rFonts w:asciiTheme="minorEastAsia" w:eastAsiaTheme="minorEastAsia" w:hAnsiTheme="minorEastAsia"/>
                <w:color w:val="000000"/>
                <w:kern w:val="0"/>
                <w:szCs w:val="21"/>
              </w:rPr>
              <w:t>EIB</w:t>
            </w:r>
            <w:r w:rsidRPr="005A0D4E">
              <w:rPr>
                <w:rFonts w:asciiTheme="minorEastAsia" w:eastAsiaTheme="minorEastAsia" w:hAnsiTheme="minorEastAsia" w:cs="宋体" w:hint="eastAsia"/>
                <w:color w:val="000000"/>
                <w:kern w:val="0"/>
                <w:szCs w:val="21"/>
              </w:rPr>
              <w:t>）</w:t>
            </w:r>
          </w:p>
        </w:tc>
        <w:tc>
          <w:tcPr>
            <w:tcW w:w="2076" w:type="dxa"/>
            <w:tcBorders>
              <w:top w:val="nil"/>
              <w:left w:val="nil"/>
              <w:bottom w:val="single" w:sz="4" w:space="0" w:color="auto"/>
              <w:right w:val="single" w:sz="4" w:space="0" w:color="auto"/>
            </w:tcBorders>
            <w:shd w:val="clear" w:color="auto" w:fill="auto"/>
            <w:vAlign w:val="center"/>
            <w:hideMark/>
          </w:tcPr>
          <w:p w14:paraId="74E0B3D1"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世行（</w:t>
            </w:r>
            <w:r w:rsidRPr="005A0D4E">
              <w:rPr>
                <w:rFonts w:asciiTheme="minorEastAsia" w:eastAsiaTheme="minorEastAsia" w:hAnsiTheme="minorEastAsia"/>
                <w:color w:val="000000"/>
                <w:kern w:val="0"/>
                <w:szCs w:val="21"/>
              </w:rPr>
              <w:t>IBRD</w:t>
            </w:r>
            <w:r w:rsidRPr="005A0D4E">
              <w:rPr>
                <w:rFonts w:asciiTheme="minorEastAsia" w:eastAsiaTheme="minorEastAsia" w:hAnsiTheme="minorEastAsia" w:cs="宋体" w:hint="eastAsia"/>
                <w:color w:val="000000"/>
                <w:kern w:val="0"/>
                <w:szCs w:val="21"/>
              </w:rPr>
              <w:t>）</w:t>
            </w:r>
          </w:p>
        </w:tc>
        <w:tc>
          <w:tcPr>
            <w:tcW w:w="1703" w:type="dxa"/>
            <w:tcBorders>
              <w:top w:val="nil"/>
              <w:left w:val="nil"/>
              <w:bottom w:val="single" w:sz="4" w:space="0" w:color="auto"/>
              <w:right w:val="single" w:sz="4" w:space="0" w:color="auto"/>
            </w:tcBorders>
            <w:shd w:val="clear" w:color="auto" w:fill="auto"/>
            <w:vAlign w:val="center"/>
            <w:hideMark/>
          </w:tcPr>
          <w:p w14:paraId="6B5F44AC"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亚行（</w:t>
            </w:r>
            <w:r w:rsidRPr="005A0D4E">
              <w:rPr>
                <w:rFonts w:asciiTheme="minorEastAsia" w:eastAsiaTheme="minorEastAsia" w:hAnsiTheme="minorEastAsia"/>
                <w:color w:val="000000"/>
                <w:kern w:val="0"/>
                <w:szCs w:val="21"/>
              </w:rPr>
              <w:t>ADB</w:t>
            </w:r>
            <w:r w:rsidRPr="005A0D4E">
              <w:rPr>
                <w:rFonts w:asciiTheme="minorEastAsia" w:eastAsiaTheme="minorEastAsia" w:hAnsiTheme="minorEastAsia" w:cs="宋体" w:hint="eastAsia"/>
                <w:color w:val="000000"/>
                <w:kern w:val="0"/>
                <w:szCs w:val="21"/>
              </w:rPr>
              <w:t>）</w:t>
            </w:r>
          </w:p>
        </w:tc>
      </w:tr>
      <w:tr w:rsidR="00D2614A" w:rsidRPr="005A0D4E" w14:paraId="10FEFF7D"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140CB874"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总资产</w:t>
            </w:r>
          </w:p>
        </w:tc>
        <w:tc>
          <w:tcPr>
            <w:tcW w:w="1981" w:type="dxa"/>
            <w:tcBorders>
              <w:top w:val="nil"/>
              <w:left w:val="nil"/>
              <w:bottom w:val="single" w:sz="4" w:space="0" w:color="auto"/>
              <w:right w:val="single" w:sz="4" w:space="0" w:color="auto"/>
            </w:tcBorders>
            <w:shd w:val="clear" w:color="auto" w:fill="auto"/>
            <w:vAlign w:val="center"/>
            <w:hideMark/>
          </w:tcPr>
          <w:p w14:paraId="470CED8B"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€ 570,617m</w:t>
            </w:r>
          </w:p>
        </w:tc>
        <w:tc>
          <w:tcPr>
            <w:tcW w:w="2076" w:type="dxa"/>
            <w:tcBorders>
              <w:top w:val="nil"/>
              <w:left w:val="nil"/>
              <w:bottom w:val="single" w:sz="4" w:space="0" w:color="auto"/>
              <w:right w:val="single" w:sz="4" w:space="0" w:color="auto"/>
            </w:tcBorders>
            <w:shd w:val="clear" w:color="auto" w:fill="auto"/>
            <w:vAlign w:val="center"/>
            <w:hideMark/>
          </w:tcPr>
          <w:p w14:paraId="5601B833"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$ 349,105m</w:t>
            </w:r>
          </w:p>
        </w:tc>
        <w:tc>
          <w:tcPr>
            <w:tcW w:w="1703" w:type="dxa"/>
            <w:tcBorders>
              <w:top w:val="nil"/>
              <w:left w:val="nil"/>
              <w:bottom w:val="single" w:sz="4" w:space="0" w:color="auto"/>
              <w:right w:val="single" w:sz="4" w:space="0" w:color="auto"/>
            </w:tcBorders>
            <w:shd w:val="clear" w:color="auto" w:fill="auto"/>
            <w:vAlign w:val="center"/>
            <w:hideMark/>
          </w:tcPr>
          <w:p w14:paraId="1B045A0A"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$ 117,697m</w:t>
            </w:r>
          </w:p>
        </w:tc>
      </w:tr>
      <w:tr w:rsidR="00D2614A" w:rsidRPr="005A0D4E" w14:paraId="2B3A9F12"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219C0753"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股东权益</w:t>
            </w:r>
          </w:p>
        </w:tc>
        <w:tc>
          <w:tcPr>
            <w:tcW w:w="1981" w:type="dxa"/>
            <w:tcBorders>
              <w:top w:val="nil"/>
              <w:left w:val="nil"/>
              <w:bottom w:val="single" w:sz="4" w:space="0" w:color="auto"/>
              <w:right w:val="single" w:sz="4" w:space="0" w:color="auto"/>
            </w:tcBorders>
            <w:shd w:val="clear" w:color="auto" w:fill="auto"/>
            <w:vAlign w:val="center"/>
            <w:hideMark/>
          </w:tcPr>
          <w:p w14:paraId="79D1B55E"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€ 63,323 m</w:t>
            </w:r>
          </w:p>
        </w:tc>
        <w:tc>
          <w:tcPr>
            <w:tcW w:w="2076" w:type="dxa"/>
            <w:tcBorders>
              <w:top w:val="nil"/>
              <w:left w:val="nil"/>
              <w:bottom w:val="single" w:sz="4" w:space="0" w:color="auto"/>
              <w:right w:val="single" w:sz="4" w:space="0" w:color="auto"/>
            </w:tcBorders>
            <w:shd w:val="clear" w:color="auto" w:fill="auto"/>
            <w:vAlign w:val="center"/>
            <w:hideMark/>
          </w:tcPr>
          <w:p w14:paraId="7D27DC84"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$ 38,978 m</w:t>
            </w:r>
          </w:p>
        </w:tc>
        <w:tc>
          <w:tcPr>
            <w:tcW w:w="1703" w:type="dxa"/>
            <w:tcBorders>
              <w:top w:val="nil"/>
              <w:left w:val="nil"/>
              <w:bottom w:val="single" w:sz="4" w:space="0" w:color="auto"/>
              <w:right w:val="single" w:sz="4" w:space="0" w:color="auto"/>
            </w:tcBorders>
            <w:shd w:val="clear" w:color="auto" w:fill="auto"/>
            <w:vAlign w:val="center"/>
            <w:hideMark/>
          </w:tcPr>
          <w:p w14:paraId="7D43C071"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$ 17,446 m</w:t>
            </w:r>
          </w:p>
        </w:tc>
      </w:tr>
      <w:tr w:rsidR="00D2614A" w:rsidRPr="005A0D4E" w14:paraId="0E5CCC0F"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02F53E4C"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净利润</w:t>
            </w:r>
          </w:p>
        </w:tc>
        <w:tc>
          <w:tcPr>
            <w:tcW w:w="1981" w:type="dxa"/>
            <w:tcBorders>
              <w:top w:val="nil"/>
              <w:left w:val="nil"/>
              <w:bottom w:val="single" w:sz="4" w:space="0" w:color="auto"/>
              <w:right w:val="single" w:sz="4" w:space="0" w:color="auto"/>
            </w:tcBorders>
            <w:shd w:val="clear" w:color="auto" w:fill="auto"/>
            <w:vAlign w:val="center"/>
            <w:hideMark/>
          </w:tcPr>
          <w:p w14:paraId="1563AB66"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€ 2,757 m</w:t>
            </w:r>
          </w:p>
        </w:tc>
        <w:tc>
          <w:tcPr>
            <w:tcW w:w="2076" w:type="dxa"/>
            <w:tcBorders>
              <w:top w:val="nil"/>
              <w:left w:val="nil"/>
              <w:bottom w:val="single" w:sz="4" w:space="0" w:color="auto"/>
              <w:right w:val="single" w:sz="4" w:space="0" w:color="auto"/>
            </w:tcBorders>
            <w:shd w:val="clear" w:color="auto" w:fill="auto"/>
            <w:vAlign w:val="center"/>
            <w:hideMark/>
          </w:tcPr>
          <w:p w14:paraId="2BB32DF7"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$ 332 m</w:t>
            </w:r>
          </w:p>
        </w:tc>
        <w:tc>
          <w:tcPr>
            <w:tcW w:w="1703" w:type="dxa"/>
            <w:tcBorders>
              <w:top w:val="nil"/>
              <w:left w:val="nil"/>
              <w:bottom w:val="single" w:sz="4" w:space="0" w:color="auto"/>
              <w:right w:val="single" w:sz="4" w:space="0" w:color="auto"/>
            </w:tcBorders>
            <w:shd w:val="clear" w:color="auto" w:fill="auto"/>
            <w:vAlign w:val="center"/>
            <w:hideMark/>
          </w:tcPr>
          <w:p w14:paraId="13F73945"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$ 556 m</w:t>
            </w:r>
          </w:p>
        </w:tc>
      </w:tr>
      <w:tr w:rsidR="00D2614A" w:rsidRPr="005A0D4E" w14:paraId="7C13020F"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190D1393"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ROA</w:t>
            </w:r>
          </w:p>
        </w:tc>
        <w:tc>
          <w:tcPr>
            <w:tcW w:w="1981" w:type="dxa"/>
            <w:tcBorders>
              <w:top w:val="nil"/>
              <w:left w:val="nil"/>
              <w:bottom w:val="single" w:sz="4" w:space="0" w:color="auto"/>
              <w:right w:val="single" w:sz="4" w:space="0" w:color="auto"/>
            </w:tcBorders>
            <w:shd w:val="clear" w:color="auto" w:fill="auto"/>
            <w:vAlign w:val="center"/>
            <w:hideMark/>
          </w:tcPr>
          <w:p w14:paraId="25B4A3C1"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0.48%</w:t>
            </w:r>
          </w:p>
        </w:tc>
        <w:tc>
          <w:tcPr>
            <w:tcW w:w="2076" w:type="dxa"/>
            <w:tcBorders>
              <w:top w:val="nil"/>
              <w:left w:val="nil"/>
              <w:bottom w:val="single" w:sz="4" w:space="0" w:color="auto"/>
              <w:right w:val="single" w:sz="4" w:space="0" w:color="auto"/>
            </w:tcBorders>
            <w:shd w:val="clear" w:color="auto" w:fill="auto"/>
            <w:vAlign w:val="center"/>
            <w:hideMark/>
          </w:tcPr>
          <w:p w14:paraId="1DFAE32E"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0.10%</w:t>
            </w:r>
          </w:p>
        </w:tc>
        <w:tc>
          <w:tcPr>
            <w:tcW w:w="1703" w:type="dxa"/>
            <w:tcBorders>
              <w:top w:val="nil"/>
              <w:left w:val="nil"/>
              <w:bottom w:val="single" w:sz="4" w:space="0" w:color="auto"/>
              <w:right w:val="single" w:sz="4" w:space="0" w:color="auto"/>
            </w:tcBorders>
            <w:shd w:val="clear" w:color="auto" w:fill="auto"/>
            <w:vAlign w:val="center"/>
            <w:hideMark/>
          </w:tcPr>
          <w:p w14:paraId="3CEA1ACD"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0.47%</w:t>
            </w:r>
          </w:p>
        </w:tc>
      </w:tr>
      <w:tr w:rsidR="00D2614A" w:rsidRPr="005A0D4E" w14:paraId="76ADC30A"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0043069E"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ROE</w:t>
            </w:r>
          </w:p>
        </w:tc>
        <w:tc>
          <w:tcPr>
            <w:tcW w:w="1981" w:type="dxa"/>
            <w:tcBorders>
              <w:top w:val="nil"/>
              <w:left w:val="nil"/>
              <w:bottom w:val="single" w:sz="4" w:space="0" w:color="auto"/>
              <w:right w:val="single" w:sz="4" w:space="0" w:color="auto"/>
            </w:tcBorders>
            <w:shd w:val="clear" w:color="auto" w:fill="auto"/>
            <w:vAlign w:val="center"/>
            <w:hideMark/>
          </w:tcPr>
          <w:p w14:paraId="266196F8"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4.35%</w:t>
            </w:r>
          </w:p>
        </w:tc>
        <w:tc>
          <w:tcPr>
            <w:tcW w:w="2076" w:type="dxa"/>
            <w:tcBorders>
              <w:top w:val="nil"/>
              <w:left w:val="nil"/>
              <w:bottom w:val="single" w:sz="4" w:space="0" w:color="auto"/>
              <w:right w:val="single" w:sz="4" w:space="0" w:color="auto"/>
            </w:tcBorders>
            <w:shd w:val="clear" w:color="auto" w:fill="auto"/>
            <w:vAlign w:val="center"/>
            <w:hideMark/>
          </w:tcPr>
          <w:p w14:paraId="08E96B16"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0.85%</w:t>
            </w:r>
          </w:p>
        </w:tc>
        <w:tc>
          <w:tcPr>
            <w:tcW w:w="1703" w:type="dxa"/>
            <w:tcBorders>
              <w:top w:val="nil"/>
              <w:left w:val="nil"/>
              <w:bottom w:val="single" w:sz="4" w:space="0" w:color="auto"/>
              <w:right w:val="single" w:sz="4" w:space="0" w:color="auto"/>
            </w:tcBorders>
            <w:shd w:val="clear" w:color="auto" w:fill="auto"/>
            <w:vAlign w:val="center"/>
            <w:hideMark/>
          </w:tcPr>
          <w:p w14:paraId="7DBDD553"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3.19%</w:t>
            </w:r>
          </w:p>
        </w:tc>
      </w:tr>
      <w:tr w:rsidR="00D2614A" w:rsidRPr="005A0D4E" w14:paraId="0B3A1B49" w14:textId="77777777" w:rsidTr="00D2614A">
        <w:trPr>
          <w:trHeight w:val="241"/>
          <w:jc w:val="center"/>
        </w:trPr>
        <w:tc>
          <w:tcPr>
            <w:tcW w:w="762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05A70"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color w:val="000000"/>
                <w:kern w:val="0"/>
                <w:szCs w:val="21"/>
              </w:rPr>
              <w:t>2014</w:t>
            </w:r>
            <w:r w:rsidRPr="005A0D4E">
              <w:rPr>
                <w:rFonts w:asciiTheme="minorEastAsia" w:eastAsiaTheme="minorEastAsia" w:hAnsiTheme="minorEastAsia" w:cs="宋体" w:hint="eastAsia"/>
                <w:color w:val="000000"/>
                <w:kern w:val="0"/>
                <w:szCs w:val="21"/>
              </w:rPr>
              <w:t>年</w:t>
            </w:r>
          </w:p>
        </w:tc>
      </w:tr>
      <w:tr w:rsidR="00D2614A" w:rsidRPr="005A0D4E" w14:paraId="3CC1E9FB" w14:textId="77777777" w:rsidTr="00D2614A">
        <w:trPr>
          <w:trHeight w:val="29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4F357386" w14:textId="251EADD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p>
        </w:tc>
        <w:tc>
          <w:tcPr>
            <w:tcW w:w="1981" w:type="dxa"/>
            <w:tcBorders>
              <w:top w:val="nil"/>
              <w:left w:val="nil"/>
              <w:bottom w:val="single" w:sz="4" w:space="0" w:color="auto"/>
              <w:right w:val="single" w:sz="4" w:space="0" w:color="auto"/>
            </w:tcBorders>
            <w:shd w:val="clear" w:color="auto" w:fill="auto"/>
            <w:vAlign w:val="center"/>
            <w:hideMark/>
          </w:tcPr>
          <w:p w14:paraId="509DA865"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欧投行（</w:t>
            </w:r>
            <w:r w:rsidRPr="005A0D4E">
              <w:rPr>
                <w:rFonts w:asciiTheme="minorEastAsia" w:eastAsiaTheme="minorEastAsia" w:hAnsiTheme="minorEastAsia"/>
                <w:color w:val="000000"/>
                <w:kern w:val="0"/>
                <w:szCs w:val="21"/>
              </w:rPr>
              <w:t>EIB</w:t>
            </w:r>
            <w:r w:rsidRPr="005A0D4E">
              <w:rPr>
                <w:rFonts w:asciiTheme="minorEastAsia" w:eastAsiaTheme="minorEastAsia" w:hAnsiTheme="minorEastAsia" w:cs="宋体" w:hint="eastAsia"/>
                <w:color w:val="000000"/>
                <w:kern w:val="0"/>
                <w:szCs w:val="21"/>
              </w:rPr>
              <w:t>）</w:t>
            </w:r>
          </w:p>
        </w:tc>
        <w:tc>
          <w:tcPr>
            <w:tcW w:w="2076" w:type="dxa"/>
            <w:tcBorders>
              <w:top w:val="nil"/>
              <w:left w:val="nil"/>
              <w:bottom w:val="single" w:sz="4" w:space="0" w:color="auto"/>
              <w:right w:val="single" w:sz="4" w:space="0" w:color="auto"/>
            </w:tcBorders>
            <w:shd w:val="clear" w:color="auto" w:fill="auto"/>
            <w:vAlign w:val="center"/>
            <w:hideMark/>
          </w:tcPr>
          <w:p w14:paraId="4B521B9C"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世行（</w:t>
            </w:r>
            <w:r w:rsidRPr="005A0D4E">
              <w:rPr>
                <w:rFonts w:asciiTheme="minorEastAsia" w:eastAsiaTheme="minorEastAsia" w:hAnsiTheme="minorEastAsia"/>
                <w:color w:val="000000"/>
                <w:kern w:val="0"/>
                <w:szCs w:val="21"/>
              </w:rPr>
              <w:t>IBRD</w:t>
            </w:r>
            <w:r w:rsidRPr="005A0D4E">
              <w:rPr>
                <w:rFonts w:asciiTheme="minorEastAsia" w:eastAsiaTheme="minorEastAsia" w:hAnsiTheme="minorEastAsia" w:cs="宋体" w:hint="eastAsia"/>
                <w:color w:val="000000"/>
                <w:kern w:val="0"/>
                <w:szCs w:val="21"/>
              </w:rPr>
              <w:t>）</w:t>
            </w:r>
          </w:p>
        </w:tc>
        <w:tc>
          <w:tcPr>
            <w:tcW w:w="1703" w:type="dxa"/>
            <w:tcBorders>
              <w:top w:val="nil"/>
              <w:left w:val="nil"/>
              <w:bottom w:val="single" w:sz="4" w:space="0" w:color="auto"/>
              <w:right w:val="single" w:sz="4" w:space="0" w:color="auto"/>
            </w:tcBorders>
            <w:shd w:val="clear" w:color="auto" w:fill="auto"/>
            <w:vAlign w:val="center"/>
            <w:hideMark/>
          </w:tcPr>
          <w:p w14:paraId="27F9FF3F"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亚行（</w:t>
            </w:r>
            <w:r w:rsidRPr="005A0D4E">
              <w:rPr>
                <w:rFonts w:asciiTheme="minorEastAsia" w:eastAsiaTheme="minorEastAsia" w:hAnsiTheme="minorEastAsia"/>
                <w:color w:val="000000"/>
                <w:kern w:val="0"/>
                <w:szCs w:val="21"/>
              </w:rPr>
              <w:t>ADB</w:t>
            </w:r>
            <w:r w:rsidRPr="005A0D4E">
              <w:rPr>
                <w:rFonts w:asciiTheme="minorEastAsia" w:eastAsiaTheme="minorEastAsia" w:hAnsiTheme="minorEastAsia" w:cs="宋体" w:hint="eastAsia"/>
                <w:color w:val="000000"/>
                <w:kern w:val="0"/>
                <w:szCs w:val="21"/>
              </w:rPr>
              <w:t>）</w:t>
            </w:r>
          </w:p>
        </w:tc>
      </w:tr>
      <w:tr w:rsidR="00D2614A" w:rsidRPr="005A0D4E" w14:paraId="2032FAC5"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763A10B5"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总资产</w:t>
            </w:r>
          </w:p>
        </w:tc>
        <w:tc>
          <w:tcPr>
            <w:tcW w:w="1981" w:type="dxa"/>
            <w:tcBorders>
              <w:top w:val="nil"/>
              <w:left w:val="nil"/>
              <w:bottom w:val="single" w:sz="4" w:space="0" w:color="auto"/>
              <w:right w:val="single" w:sz="4" w:space="0" w:color="auto"/>
            </w:tcBorders>
            <w:shd w:val="clear" w:color="auto" w:fill="auto"/>
            <w:vAlign w:val="center"/>
            <w:hideMark/>
          </w:tcPr>
          <w:p w14:paraId="2C9FD762"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€ 542,372 m</w:t>
            </w:r>
          </w:p>
        </w:tc>
        <w:tc>
          <w:tcPr>
            <w:tcW w:w="2076" w:type="dxa"/>
            <w:tcBorders>
              <w:top w:val="nil"/>
              <w:left w:val="nil"/>
              <w:bottom w:val="single" w:sz="4" w:space="0" w:color="auto"/>
              <w:right w:val="single" w:sz="4" w:space="0" w:color="auto"/>
            </w:tcBorders>
            <w:shd w:val="clear" w:color="auto" w:fill="auto"/>
            <w:vAlign w:val="center"/>
            <w:hideMark/>
          </w:tcPr>
          <w:p w14:paraId="0B16862C"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$ 351,634 m</w:t>
            </w:r>
          </w:p>
        </w:tc>
        <w:tc>
          <w:tcPr>
            <w:tcW w:w="1703" w:type="dxa"/>
            <w:tcBorders>
              <w:top w:val="nil"/>
              <w:left w:val="nil"/>
              <w:bottom w:val="single" w:sz="4" w:space="0" w:color="auto"/>
              <w:right w:val="single" w:sz="4" w:space="0" w:color="auto"/>
            </w:tcBorders>
            <w:shd w:val="clear" w:color="auto" w:fill="auto"/>
            <w:vAlign w:val="center"/>
            <w:hideMark/>
          </w:tcPr>
          <w:p w14:paraId="7A2608F8"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$ 115,660 m</w:t>
            </w:r>
          </w:p>
        </w:tc>
      </w:tr>
      <w:tr w:rsidR="00D2614A" w:rsidRPr="005A0D4E" w14:paraId="22EE7C1D"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5ECB27F7"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股东权益</w:t>
            </w:r>
          </w:p>
        </w:tc>
        <w:tc>
          <w:tcPr>
            <w:tcW w:w="1981" w:type="dxa"/>
            <w:tcBorders>
              <w:top w:val="nil"/>
              <w:left w:val="nil"/>
              <w:bottom w:val="single" w:sz="4" w:space="0" w:color="auto"/>
              <w:right w:val="single" w:sz="4" w:space="0" w:color="auto"/>
            </w:tcBorders>
            <w:shd w:val="clear" w:color="auto" w:fill="auto"/>
            <w:vAlign w:val="center"/>
            <w:hideMark/>
          </w:tcPr>
          <w:p w14:paraId="32C904C0"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€ 60,566 m</w:t>
            </w:r>
          </w:p>
        </w:tc>
        <w:tc>
          <w:tcPr>
            <w:tcW w:w="2076" w:type="dxa"/>
            <w:tcBorders>
              <w:top w:val="nil"/>
              <w:left w:val="nil"/>
              <w:bottom w:val="single" w:sz="4" w:space="0" w:color="auto"/>
              <w:right w:val="single" w:sz="4" w:space="0" w:color="auto"/>
            </w:tcBorders>
            <w:shd w:val="clear" w:color="auto" w:fill="auto"/>
            <w:vAlign w:val="center"/>
            <w:hideMark/>
          </w:tcPr>
          <w:p w14:paraId="64C8014E"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$ 37,078 m</w:t>
            </w:r>
          </w:p>
        </w:tc>
        <w:tc>
          <w:tcPr>
            <w:tcW w:w="1703" w:type="dxa"/>
            <w:tcBorders>
              <w:top w:val="nil"/>
              <w:left w:val="nil"/>
              <w:bottom w:val="single" w:sz="4" w:space="0" w:color="auto"/>
              <w:right w:val="single" w:sz="4" w:space="0" w:color="auto"/>
            </w:tcBorders>
            <w:shd w:val="clear" w:color="auto" w:fill="auto"/>
            <w:vAlign w:val="center"/>
            <w:hideMark/>
          </w:tcPr>
          <w:p w14:paraId="67E6F915"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$ 16,938 m</w:t>
            </w:r>
          </w:p>
        </w:tc>
      </w:tr>
      <w:tr w:rsidR="00D2614A" w:rsidRPr="005A0D4E" w14:paraId="4BFA504C"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321C2413"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净利润</w:t>
            </w:r>
          </w:p>
        </w:tc>
        <w:tc>
          <w:tcPr>
            <w:tcW w:w="1981" w:type="dxa"/>
            <w:tcBorders>
              <w:top w:val="nil"/>
              <w:left w:val="nil"/>
              <w:bottom w:val="single" w:sz="4" w:space="0" w:color="auto"/>
              <w:right w:val="single" w:sz="4" w:space="0" w:color="auto"/>
            </w:tcBorders>
            <w:shd w:val="clear" w:color="auto" w:fill="auto"/>
            <w:vAlign w:val="center"/>
            <w:hideMark/>
          </w:tcPr>
          <w:p w14:paraId="7CA0C7F0"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€ 2,626 m</w:t>
            </w:r>
          </w:p>
        </w:tc>
        <w:tc>
          <w:tcPr>
            <w:tcW w:w="2076" w:type="dxa"/>
            <w:tcBorders>
              <w:top w:val="nil"/>
              <w:left w:val="nil"/>
              <w:bottom w:val="single" w:sz="4" w:space="0" w:color="auto"/>
              <w:right w:val="single" w:sz="4" w:space="0" w:color="auto"/>
            </w:tcBorders>
            <w:shd w:val="clear" w:color="auto" w:fill="auto"/>
            <w:vAlign w:val="center"/>
            <w:hideMark/>
          </w:tcPr>
          <w:p w14:paraId="3F2336A0"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-1,514 m</w:t>
            </w:r>
          </w:p>
        </w:tc>
        <w:tc>
          <w:tcPr>
            <w:tcW w:w="1703" w:type="dxa"/>
            <w:tcBorders>
              <w:top w:val="nil"/>
              <w:left w:val="nil"/>
              <w:bottom w:val="single" w:sz="4" w:space="0" w:color="auto"/>
              <w:right w:val="single" w:sz="4" w:space="0" w:color="auto"/>
            </w:tcBorders>
            <w:shd w:val="clear" w:color="auto" w:fill="auto"/>
            <w:vAlign w:val="center"/>
            <w:hideMark/>
          </w:tcPr>
          <w:p w14:paraId="44F37C74"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$ 387 m</w:t>
            </w:r>
          </w:p>
        </w:tc>
      </w:tr>
      <w:tr w:rsidR="00D2614A" w:rsidRPr="005A0D4E" w14:paraId="0CDDEEFE"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5CE74B80"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ROA</w:t>
            </w:r>
          </w:p>
        </w:tc>
        <w:tc>
          <w:tcPr>
            <w:tcW w:w="1981" w:type="dxa"/>
            <w:tcBorders>
              <w:top w:val="nil"/>
              <w:left w:val="nil"/>
              <w:bottom w:val="single" w:sz="4" w:space="0" w:color="auto"/>
              <w:right w:val="single" w:sz="4" w:space="0" w:color="auto"/>
            </w:tcBorders>
            <w:shd w:val="clear" w:color="auto" w:fill="auto"/>
            <w:vAlign w:val="center"/>
            <w:hideMark/>
          </w:tcPr>
          <w:p w14:paraId="304849D0"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0.48%</w:t>
            </w:r>
          </w:p>
        </w:tc>
        <w:tc>
          <w:tcPr>
            <w:tcW w:w="2076" w:type="dxa"/>
            <w:tcBorders>
              <w:top w:val="nil"/>
              <w:left w:val="nil"/>
              <w:bottom w:val="single" w:sz="4" w:space="0" w:color="auto"/>
              <w:right w:val="single" w:sz="4" w:space="0" w:color="auto"/>
            </w:tcBorders>
            <w:shd w:val="clear" w:color="auto" w:fill="auto"/>
            <w:vAlign w:val="center"/>
            <w:hideMark/>
          </w:tcPr>
          <w:p w14:paraId="60448202"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-0.43%</w:t>
            </w:r>
          </w:p>
        </w:tc>
        <w:tc>
          <w:tcPr>
            <w:tcW w:w="1703" w:type="dxa"/>
            <w:tcBorders>
              <w:top w:val="nil"/>
              <w:left w:val="nil"/>
              <w:bottom w:val="single" w:sz="4" w:space="0" w:color="auto"/>
              <w:right w:val="single" w:sz="4" w:space="0" w:color="auto"/>
            </w:tcBorders>
            <w:shd w:val="clear" w:color="auto" w:fill="auto"/>
            <w:vAlign w:val="center"/>
            <w:hideMark/>
          </w:tcPr>
          <w:p w14:paraId="3F3C7193"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0.33%</w:t>
            </w:r>
          </w:p>
        </w:tc>
      </w:tr>
      <w:tr w:rsidR="00D2614A" w:rsidRPr="005A0D4E" w14:paraId="41E9A978"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392650E7"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ROE</w:t>
            </w:r>
          </w:p>
        </w:tc>
        <w:tc>
          <w:tcPr>
            <w:tcW w:w="1981" w:type="dxa"/>
            <w:tcBorders>
              <w:top w:val="nil"/>
              <w:left w:val="nil"/>
              <w:bottom w:val="single" w:sz="4" w:space="0" w:color="auto"/>
              <w:right w:val="single" w:sz="4" w:space="0" w:color="auto"/>
            </w:tcBorders>
            <w:shd w:val="clear" w:color="auto" w:fill="auto"/>
            <w:vAlign w:val="center"/>
            <w:hideMark/>
          </w:tcPr>
          <w:p w14:paraId="0DFA8477"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4.34%</w:t>
            </w:r>
          </w:p>
        </w:tc>
        <w:tc>
          <w:tcPr>
            <w:tcW w:w="2076" w:type="dxa"/>
            <w:tcBorders>
              <w:top w:val="nil"/>
              <w:left w:val="nil"/>
              <w:bottom w:val="single" w:sz="4" w:space="0" w:color="auto"/>
              <w:right w:val="single" w:sz="4" w:space="0" w:color="auto"/>
            </w:tcBorders>
            <w:shd w:val="clear" w:color="auto" w:fill="auto"/>
            <w:vAlign w:val="center"/>
            <w:hideMark/>
          </w:tcPr>
          <w:p w14:paraId="5EB874D6"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-4.08%</w:t>
            </w:r>
          </w:p>
        </w:tc>
        <w:tc>
          <w:tcPr>
            <w:tcW w:w="1703" w:type="dxa"/>
            <w:tcBorders>
              <w:top w:val="nil"/>
              <w:left w:val="nil"/>
              <w:bottom w:val="single" w:sz="4" w:space="0" w:color="auto"/>
              <w:right w:val="single" w:sz="4" w:space="0" w:color="auto"/>
            </w:tcBorders>
            <w:shd w:val="clear" w:color="auto" w:fill="auto"/>
            <w:vAlign w:val="center"/>
            <w:hideMark/>
          </w:tcPr>
          <w:p w14:paraId="65672B01"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2.28%</w:t>
            </w:r>
          </w:p>
        </w:tc>
      </w:tr>
      <w:tr w:rsidR="00D2614A" w:rsidRPr="005A0D4E" w14:paraId="60469BB9" w14:textId="77777777" w:rsidTr="00D2614A">
        <w:trPr>
          <w:trHeight w:val="290"/>
          <w:jc w:val="center"/>
        </w:trPr>
        <w:tc>
          <w:tcPr>
            <w:tcW w:w="762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72DD8"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color w:val="000000"/>
                <w:kern w:val="0"/>
                <w:szCs w:val="21"/>
              </w:rPr>
              <w:t>2013</w:t>
            </w:r>
            <w:r w:rsidRPr="005A0D4E">
              <w:rPr>
                <w:rFonts w:asciiTheme="minorEastAsia" w:eastAsiaTheme="minorEastAsia" w:hAnsiTheme="minorEastAsia" w:cs="宋体" w:hint="eastAsia"/>
                <w:color w:val="000000"/>
                <w:kern w:val="0"/>
                <w:szCs w:val="21"/>
              </w:rPr>
              <w:t>年</w:t>
            </w:r>
          </w:p>
        </w:tc>
      </w:tr>
      <w:tr w:rsidR="00D2614A" w:rsidRPr="005A0D4E" w14:paraId="739ED322" w14:textId="77777777" w:rsidTr="00D2614A">
        <w:trPr>
          <w:trHeight w:val="29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0FD0E366" w14:textId="24FFC70E"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p>
        </w:tc>
        <w:tc>
          <w:tcPr>
            <w:tcW w:w="1981" w:type="dxa"/>
            <w:tcBorders>
              <w:top w:val="nil"/>
              <w:left w:val="nil"/>
              <w:bottom w:val="single" w:sz="4" w:space="0" w:color="auto"/>
              <w:right w:val="single" w:sz="4" w:space="0" w:color="auto"/>
            </w:tcBorders>
            <w:shd w:val="clear" w:color="auto" w:fill="auto"/>
            <w:vAlign w:val="center"/>
            <w:hideMark/>
          </w:tcPr>
          <w:p w14:paraId="5BB075B4"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欧投行（</w:t>
            </w:r>
            <w:r w:rsidRPr="005A0D4E">
              <w:rPr>
                <w:rFonts w:asciiTheme="minorEastAsia" w:eastAsiaTheme="minorEastAsia" w:hAnsiTheme="minorEastAsia"/>
                <w:color w:val="000000"/>
                <w:kern w:val="0"/>
                <w:szCs w:val="21"/>
              </w:rPr>
              <w:t>EIB</w:t>
            </w:r>
            <w:r w:rsidRPr="005A0D4E">
              <w:rPr>
                <w:rFonts w:asciiTheme="minorEastAsia" w:eastAsiaTheme="minorEastAsia" w:hAnsiTheme="minorEastAsia" w:cs="宋体" w:hint="eastAsia"/>
                <w:color w:val="000000"/>
                <w:kern w:val="0"/>
                <w:szCs w:val="21"/>
              </w:rPr>
              <w:t>）</w:t>
            </w:r>
          </w:p>
        </w:tc>
        <w:tc>
          <w:tcPr>
            <w:tcW w:w="2076" w:type="dxa"/>
            <w:tcBorders>
              <w:top w:val="nil"/>
              <w:left w:val="nil"/>
              <w:bottom w:val="single" w:sz="4" w:space="0" w:color="auto"/>
              <w:right w:val="single" w:sz="4" w:space="0" w:color="auto"/>
            </w:tcBorders>
            <w:shd w:val="clear" w:color="auto" w:fill="auto"/>
            <w:vAlign w:val="center"/>
            <w:hideMark/>
          </w:tcPr>
          <w:p w14:paraId="1BA05655"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世行（</w:t>
            </w:r>
            <w:r w:rsidRPr="005A0D4E">
              <w:rPr>
                <w:rFonts w:asciiTheme="minorEastAsia" w:eastAsiaTheme="minorEastAsia" w:hAnsiTheme="minorEastAsia"/>
                <w:color w:val="000000"/>
                <w:kern w:val="0"/>
                <w:szCs w:val="21"/>
              </w:rPr>
              <w:t>IBRD</w:t>
            </w:r>
            <w:r w:rsidRPr="005A0D4E">
              <w:rPr>
                <w:rFonts w:asciiTheme="minorEastAsia" w:eastAsiaTheme="minorEastAsia" w:hAnsiTheme="minorEastAsia" w:cs="宋体" w:hint="eastAsia"/>
                <w:color w:val="000000"/>
                <w:kern w:val="0"/>
                <w:szCs w:val="21"/>
              </w:rPr>
              <w:t>）</w:t>
            </w:r>
          </w:p>
        </w:tc>
        <w:tc>
          <w:tcPr>
            <w:tcW w:w="1703" w:type="dxa"/>
            <w:tcBorders>
              <w:top w:val="nil"/>
              <w:left w:val="nil"/>
              <w:bottom w:val="single" w:sz="4" w:space="0" w:color="auto"/>
              <w:right w:val="single" w:sz="4" w:space="0" w:color="auto"/>
            </w:tcBorders>
            <w:shd w:val="clear" w:color="auto" w:fill="auto"/>
            <w:vAlign w:val="center"/>
            <w:hideMark/>
          </w:tcPr>
          <w:p w14:paraId="711CA97B"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亚行（</w:t>
            </w:r>
            <w:r w:rsidRPr="005A0D4E">
              <w:rPr>
                <w:rFonts w:asciiTheme="minorEastAsia" w:eastAsiaTheme="minorEastAsia" w:hAnsiTheme="minorEastAsia"/>
                <w:color w:val="000000"/>
                <w:kern w:val="0"/>
                <w:szCs w:val="21"/>
              </w:rPr>
              <w:t>ADB</w:t>
            </w:r>
            <w:r w:rsidRPr="005A0D4E">
              <w:rPr>
                <w:rFonts w:asciiTheme="minorEastAsia" w:eastAsiaTheme="minorEastAsia" w:hAnsiTheme="minorEastAsia" w:cs="宋体" w:hint="eastAsia"/>
                <w:color w:val="000000"/>
                <w:kern w:val="0"/>
                <w:szCs w:val="21"/>
              </w:rPr>
              <w:t>）</w:t>
            </w:r>
          </w:p>
        </w:tc>
      </w:tr>
      <w:tr w:rsidR="00D2614A" w:rsidRPr="005A0D4E" w14:paraId="68395CAA"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2F16BE82"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总资产</w:t>
            </w:r>
          </w:p>
        </w:tc>
        <w:tc>
          <w:tcPr>
            <w:tcW w:w="1981" w:type="dxa"/>
            <w:tcBorders>
              <w:top w:val="nil"/>
              <w:left w:val="nil"/>
              <w:bottom w:val="single" w:sz="4" w:space="0" w:color="auto"/>
              <w:right w:val="single" w:sz="4" w:space="0" w:color="auto"/>
            </w:tcBorders>
            <w:shd w:val="clear" w:color="auto" w:fill="auto"/>
            <w:vAlign w:val="center"/>
            <w:hideMark/>
          </w:tcPr>
          <w:p w14:paraId="16973E25"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€ 512,203 m</w:t>
            </w:r>
          </w:p>
        </w:tc>
        <w:tc>
          <w:tcPr>
            <w:tcW w:w="2076" w:type="dxa"/>
            <w:tcBorders>
              <w:top w:val="nil"/>
              <w:left w:val="nil"/>
              <w:bottom w:val="single" w:sz="4" w:space="0" w:color="auto"/>
              <w:right w:val="single" w:sz="4" w:space="0" w:color="auto"/>
            </w:tcBorders>
            <w:shd w:val="clear" w:color="auto" w:fill="auto"/>
            <w:vAlign w:val="center"/>
            <w:hideMark/>
          </w:tcPr>
          <w:p w14:paraId="4337DEC4"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$ 328,836 m</w:t>
            </w:r>
          </w:p>
        </w:tc>
        <w:tc>
          <w:tcPr>
            <w:tcW w:w="1703" w:type="dxa"/>
            <w:tcBorders>
              <w:top w:val="nil"/>
              <w:left w:val="nil"/>
              <w:bottom w:val="single" w:sz="4" w:space="0" w:color="auto"/>
              <w:right w:val="single" w:sz="4" w:space="0" w:color="auto"/>
            </w:tcBorders>
            <w:shd w:val="clear" w:color="auto" w:fill="auto"/>
            <w:vAlign w:val="center"/>
            <w:hideMark/>
          </w:tcPr>
          <w:p w14:paraId="5169F06D"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$ 116,088 m</w:t>
            </w:r>
          </w:p>
        </w:tc>
      </w:tr>
      <w:tr w:rsidR="00D2614A" w:rsidRPr="005A0D4E" w14:paraId="53EAC406"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7BA4C224"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股东权益</w:t>
            </w:r>
          </w:p>
        </w:tc>
        <w:tc>
          <w:tcPr>
            <w:tcW w:w="1981" w:type="dxa"/>
            <w:tcBorders>
              <w:top w:val="nil"/>
              <w:left w:val="nil"/>
              <w:bottom w:val="single" w:sz="4" w:space="0" w:color="auto"/>
              <w:right w:val="single" w:sz="4" w:space="0" w:color="auto"/>
            </w:tcBorders>
            <w:shd w:val="clear" w:color="auto" w:fill="auto"/>
            <w:vAlign w:val="center"/>
            <w:hideMark/>
          </w:tcPr>
          <w:p w14:paraId="7AB8DDDB"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€ 57,941 m</w:t>
            </w:r>
          </w:p>
        </w:tc>
        <w:tc>
          <w:tcPr>
            <w:tcW w:w="2076" w:type="dxa"/>
            <w:tcBorders>
              <w:top w:val="nil"/>
              <w:left w:val="nil"/>
              <w:bottom w:val="single" w:sz="4" w:space="0" w:color="auto"/>
              <w:right w:val="single" w:sz="4" w:space="0" w:color="auto"/>
            </w:tcBorders>
            <w:shd w:val="clear" w:color="auto" w:fill="auto"/>
            <w:vAlign w:val="center"/>
            <w:hideMark/>
          </w:tcPr>
          <w:p w14:paraId="2124014A"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$ 40,229 m</w:t>
            </w:r>
          </w:p>
        </w:tc>
        <w:tc>
          <w:tcPr>
            <w:tcW w:w="1703" w:type="dxa"/>
            <w:tcBorders>
              <w:top w:val="nil"/>
              <w:left w:val="nil"/>
              <w:bottom w:val="single" w:sz="4" w:space="0" w:color="auto"/>
              <w:right w:val="single" w:sz="4" w:space="0" w:color="auto"/>
            </w:tcBorders>
            <w:shd w:val="clear" w:color="auto" w:fill="auto"/>
            <w:vAlign w:val="center"/>
            <w:hideMark/>
          </w:tcPr>
          <w:p w14:paraId="7D52288E"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$ 17,968 m</w:t>
            </w:r>
          </w:p>
        </w:tc>
      </w:tr>
      <w:tr w:rsidR="00D2614A" w:rsidRPr="005A0D4E" w14:paraId="06BD052C" w14:textId="77777777" w:rsidTr="00D2614A">
        <w:trPr>
          <w:trHeight w:val="179"/>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706EFE82" w14:textId="77777777" w:rsidR="005A0D4E" w:rsidRPr="005A0D4E" w:rsidRDefault="005A0D4E" w:rsidP="00D2614A">
            <w:pPr>
              <w:widowControl/>
              <w:spacing w:line="360" w:lineRule="auto"/>
              <w:jc w:val="center"/>
              <w:rPr>
                <w:rFonts w:asciiTheme="minorEastAsia" w:eastAsiaTheme="minorEastAsia" w:hAnsiTheme="minorEastAsia" w:cs="宋体"/>
                <w:color w:val="000000"/>
                <w:kern w:val="0"/>
                <w:szCs w:val="21"/>
              </w:rPr>
            </w:pPr>
            <w:r w:rsidRPr="005A0D4E">
              <w:rPr>
                <w:rFonts w:asciiTheme="minorEastAsia" w:eastAsiaTheme="minorEastAsia" w:hAnsiTheme="minorEastAsia" w:cs="宋体" w:hint="eastAsia"/>
                <w:color w:val="000000"/>
                <w:kern w:val="0"/>
                <w:szCs w:val="21"/>
              </w:rPr>
              <w:t>净利润</w:t>
            </w:r>
          </w:p>
        </w:tc>
        <w:tc>
          <w:tcPr>
            <w:tcW w:w="1981" w:type="dxa"/>
            <w:tcBorders>
              <w:top w:val="nil"/>
              <w:left w:val="nil"/>
              <w:bottom w:val="single" w:sz="4" w:space="0" w:color="auto"/>
              <w:right w:val="single" w:sz="4" w:space="0" w:color="auto"/>
            </w:tcBorders>
            <w:shd w:val="clear" w:color="auto" w:fill="auto"/>
            <w:vAlign w:val="center"/>
            <w:hideMark/>
          </w:tcPr>
          <w:p w14:paraId="6D26A361"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€ 2,515 m</w:t>
            </w:r>
          </w:p>
        </w:tc>
        <w:tc>
          <w:tcPr>
            <w:tcW w:w="2076" w:type="dxa"/>
            <w:tcBorders>
              <w:top w:val="nil"/>
              <w:left w:val="nil"/>
              <w:bottom w:val="single" w:sz="4" w:space="0" w:color="auto"/>
              <w:right w:val="single" w:sz="4" w:space="0" w:color="auto"/>
            </w:tcBorders>
            <w:shd w:val="clear" w:color="auto" w:fill="auto"/>
            <w:vAlign w:val="center"/>
            <w:hideMark/>
          </w:tcPr>
          <w:p w14:paraId="7E56BEA4"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-69 m</w:t>
            </w:r>
          </w:p>
        </w:tc>
        <w:tc>
          <w:tcPr>
            <w:tcW w:w="1703" w:type="dxa"/>
            <w:tcBorders>
              <w:top w:val="nil"/>
              <w:left w:val="nil"/>
              <w:bottom w:val="single" w:sz="4" w:space="0" w:color="auto"/>
              <w:right w:val="single" w:sz="4" w:space="0" w:color="auto"/>
            </w:tcBorders>
            <w:shd w:val="clear" w:color="auto" w:fill="auto"/>
            <w:vAlign w:val="center"/>
            <w:hideMark/>
          </w:tcPr>
          <w:p w14:paraId="60DC83E6"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$ 566 m</w:t>
            </w:r>
          </w:p>
        </w:tc>
      </w:tr>
      <w:tr w:rsidR="00D2614A" w:rsidRPr="005A0D4E" w14:paraId="07F3A296"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1C7C0AB4"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ROA</w:t>
            </w:r>
          </w:p>
        </w:tc>
        <w:tc>
          <w:tcPr>
            <w:tcW w:w="1981" w:type="dxa"/>
            <w:tcBorders>
              <w:top w:val="nil"/>
              <w:left w:val="nil"/>
              <w:bottom w:val="single" w:sz="4" w:space="0" w:color="auto"/>
              <w:right w:val="single" w:sz="4" w:space="0" w:color="auto"/>
            </w:tcBorders>
            <w:shd w:val="clear" w:color="auto" w:fill="auto"/>
            <w:vAlign w:val="center"/>
            <w:hideMark/>
          </w:tcPr>
          <w:p w14:paraId="5DB36B30"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0.49%</w:t>
            </w:r>
          </w:p>
        </w:tc>
        <w:tc>
          <w:tcPr>
            <w:tcW w:w="2076" w:type="dxa"/>
            <w:tcBorders>
              <w:top w:val="nil"/>
              <w:left w:val="nil"/>
              <w:bottom w:val="single" w:sz="4" w:space="0" w:color="auto"/>
              <w:right w:val="single" w:sz="4" w:space="0" w:color="auto"/>
            </w:tcBorders>
            <w:shd w:val="clear" w:color="auto" w:fill="auto"/>
            <w:vAlign w:val="center"/>
            <w:hideMark/>
          </w:tcPr>
          <w:p w14:paraId="4723FB6F"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-0.02%</w:t>
            </w:r>
          </w:p>
        </w:tc>
        <w:tc>
          <w:tcPr>
            <w:tcW w:w="1703" w:type="dxa"/>
            <w:tcBorders>
              <w:top w:val="nil"/>
              <w:left w:val="nil"/>
              <w:bottom w:val="single" w:sz="4" w:space="0" w:color="auto"/>
              <w:right w:val="single" w:sz="4" w:space="0" w:color="auto"/>
            </w:tcBorders>
            <w:shd w:val="clear" w:color="auto" w:fill="auto"/>
            <w:vAlign w:val="center"/>
            <w:hideMark/>
          </w:tcPr>
          <w:p w14:paraId="4A71B9D9"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0.49%</w:t>
            </w:r>
          </w:p>
        </w:tc>
      </w:tr>
      <w:tr w:rsidR="00D2614A" w:rsidRPr="005A0D4E" w14:paraId="6CB3FD9E" w14:textId="77777777" w:rsidTr="00D2614A">
        <w:trPr>
          <w:trHeight w:val="280"/>
          <w:jc w:val="center"/>
        </w:trPr>
        <w:tc>
          <w:tcPr>
            <w:tcW w:w="1862" w:type="dxa"/>
            <w:tcBorders>
              <w:top w:val="nil"/>
              <w:left w:val="single" w:sz="4" w:space="0" w:color="auto"/>
              <w:bottom w:val="single" w:sz="4" w:space="0" w:color="auto"/>
              <w:right w:val="single" w:sz="4" w:space="0" w:color="auto"/>
            </w:tcBorders>
            <w:shd w:val="clear" w:color="auto" w:fill="auto"/>
            <w:vAlign w:val="center"/>
            <w:hideMark/>
          </w:tcPr>
          <w:p w14:paraId="28B1056C"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ROE</w:t>
            </w:r>
          </w:p>
        </w:tc>
        <w:tc>
          <w:tcPr>
            <w:tcW w:w="1981" w:type="dxa"/>
            <w:tcBorders>
              <w:top w:val="nil"/>
              <w:left w:val="nil"/>
              <w:bottom w:val="single" w:sz="4" w:space="0" w:color="auto"/>
              <w:right w:val="single" w:sz="4" w:space="0" w:color="auto"/>
            </w:tcBorders>
            <w:shd w:val="clear" w:color="auto" w:fill="auto"/>
            <w:vAlign w:val="center"/>
            <w:hideMark/>
          </w:tcPr>
          <w:p w14:paraId="2A29CB2A"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4.34%</w:t>
            </w:r>
          </w:p>
        </w:tc>
        <w:tc>
          <w:tcPr>
            <w:tcW w:w="2076" w:type="dxa"/>
            <w:tcBorders>
              <w:top w:val="nil"/>
              <w:left w:val="nil"/>
              <w:bottom w:val="single" w:sz="4" w:space="0" w:color="auto"/>
              <w:right w:val="single" w:sz="4" w:space="0" w:color="auto"/>
            </w:tcBorders>
            <w:shd w:val="clear" w:color="auto" w:fill="auto"/>
            <w:vAlign w:val="center"/>
            <w:hideMark/>
          </w:tcPr>
          <w:p w14:paraId="2063D650"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-0.17%</w:t>
            </w:r>
          </w:p>
        </w:tc>
        <w:tc>
          <w:tcPr>
            <w:tcW w:w="1703" w:type="dxa"/>
            <w:tcBorders>
              <w:top w:val="nil"/>
              <w:left w:val="nil"/>
              <w:bottom w:val="single" w:sz="4" w:space="0" w:color="auto"/>
              <w:right w:val="single" w:sz="4" w:space="0" w:color="auto"/>
            </w:tcBorders>
            <w:shd w:val="clear" w:color="auto" w:fill="auto"/>
            <w:vAlign w:val="center"/>
            <w:hideMark/>
          </w:tcPr>
          <w:p w14:paraId="31217C8D" w14:textId="77777777" w:rsidR="005A0D4E" w:rsidRPr="005A0D4E" w:rsidRDefault="005A0D4E" w:rsidP="00D2614A">
            <w:pPr>
              <w:widowControl/>
              <w:spacing w:line="360" w:lineRule="auto"/>
              <w:jc w:val="center"/>
              <w:rPr>
                <w:rFonts w:asciiTheme="minorEastAsia" w:eastAsiaTheme="minorEastAsia" w:hAnsiTheme="minorEastAsia"/>
                <w:color w:val="000000"/>
                <w:kern w:val="0"/>
                <w:szCs w:val="21"/>
              </w:rPr>
            </w:pPr>
            <w:r w:rsidRPr="005A0D4E">
              <w:rPr>
                <w:rFonts w:asciiTheme="minorEastAsia" w:eastAsiaTheme="minorEastAsia" w:hAnsiTheme="minorEastAsia"/>
                <w:color w:val="000000"/>
                <w:kern w:val="0"/>
                <w:szCs w:val="21"/>
              </w:rPr>
              <w:t>3.15%</w:t>
            </w:r>
          </w:p>
        </w:tc>
      </w:tr>
    </w:tbl>
    <w:p w14:paraId="501592C7" w14:textId="77777777" w:rsidR="005A0D4E" w:rsidRPr="005A0D4E" w:rsidRDefault="005A0D4E" w:rsidP="005A0D4E">
      <w:pPr>
        <w:spacing w:line="360" w:lineRule="auto"/>
        <w:rPr>
          <w:rFonts w:asciiTheme="minorEastAsia" w:eastAsiaTheme="minorEastAsia" w:hAnsiTheme="minorEastAsia"/>
          <w:szCs w:val="21"/>
        </w:rPr>
      </w:pPr>
      <w:r w:rsidRPr="005A0D4E">
        <w:rPr>
          <w:rFonts w:asciiTheme="minorEastAsia" w:eastAsiaTheme="minorEastAsia" w:hAnsiTheme="minorEastAsia" w:hint="eastAsia"/>
          <w:szCs w:val="21"/>
        </w:rPr>
        <w:t>数据来源：</w:t>
      </w:r>
      <w:r w:rsidRPr="005A0D4E">
        <w:rPr>
          <w:rFonts w:asciiTheme="minorEastAsia" w:eastAsiaTheme="minorEastAsia" w:hAnsiTheme="minorEastAsia"/>
          <w:szCs w:val="21"/>
        </w:rPr>
        <w:t>EIB</w:t>
      </w:r>
      <w:r w:rsidRPr="005A0D4E">
        <w:rPr>
          <w:rFonts w:asciiTheme="minorEastAsia" w:eastAsiaTheme="minorEastAsia" w:hAnsiTheme="minorEastAsia" w:hint="eastAsia"/>
          <w:szCs w:val="21"/>
        </w:rPr>
        <w:t xml:space="preserve"> Financial Report 2013/2014/2015，WB</w:t>
      </w:r>
      <w:r w:rsidRPr="005A0D4E">
        <w:rPr>
          <w:rFonts w:asciiTheme="minorEastAsia" w:eastAsiaTheme="minorEastAsia" w:hAnsiTheme="minorEastAsia"/>
          <w:szCs w:val="21"/>
        </w:rPr>
        <w:t xml:space="preserve"> Financial Statements</w:t>
      </w:r>
      <w:r w:rsidRPr="005A0D4E">
        <w:rPr>
          <w:rFonts w:asciiTheme="minorEastAsia" w:eastAsiaTheme="minorEastAsia" w:hAnsiTheme="minorEastAsia" w:hint="eastAsia"/>
          <w:szCs w:val="21"/>
        </w:rPr>
        <w:t xml:space="preserve"> (</w:t>
      </w:r>
      <w:r w:rsidRPr="005A0D4E">
        <w:rPr>
          <w:rFonts w:asciiTheme="minorEastAsia" w:eastAsiaTheme="minorEastAsia" w:hAnsiTheme="minorEastAsia"/>
          <w:szCs w:val="21"/>
        </w:rPr>
        <w:t>Fiscal Year</w:t>
      </w:r>
      <w:r w:rsidRPr="005A0D4E">
        <w:rPr>
          <w:rFonts w:asciiTheme="minorEastAsia" w:eastAsiaTheme="minorEastAsia" w:hAnsiTheme="minorEastAsia" w:hint="eastAsia"/>
          <w:szCs w:val="21"/>
        </w:rPr>
        <w:t xml:space="preserve"> 2013/2014/2015)，ADB Financial Report 2013/2014/2015。其中，世行数据仅指国际复兴开发银行（IBRD），不包括国际开发协会（IDA）。</w:t>
      </w:r>
    </w:p>
    <w:p w14:paraId="63AF87FA" w14:textId="77777777" w:rsidR="005A0D4E" w:rsidRDefault="005A0D4E" w:rsidP="005A0D4E">
      <w:pPr>
        <w:spacing w:line="360" w:lineRule="auto"/>
        <w:rPr>
          <w:rFonts w:asciiTheme="minorEastAsia" w:eastAsiaTheme="minorEastAsia" w:hAnsiTheme="minorEastAsia"/>
          <w:b/>
          <w:szCs w:val="21"/>
        </w:rPr>
      </w:pPr>
    </w:p>
    <w:p w14:paraId="66ACCA36" w14:textId="77777777" w:rsidR="005A0D4E" w:rsidRPr="005A0D4E" w:rsidRDefault="005A0D4E" w:rsidP="005A0D4E">
      <w:pPr>
        <w:spacing w:line="360" w:lineRule="auto"/>
        <w:rPr>
          <w:rFonts w:asciiTheme="minorEastAsia" w:eastAsiaTheme="minorEastAsia" w:hAnsiTheme="minorEastAsia"/>
          <w:b/>
          <w:szCs w:val="21"/>
        </w:rPr>
      </w:pPr>
      <w:r w:rsidRPr="005A0D4E">
        <w:rPr>
          <w:rFonts w:asciiTheme="minorEastAsia" w:eastAsiaTheme="minorEastAsia" w:hAnsiTheme="minorEastAsia" w:hint="eastAsia"/>
          <w:b/>
          <w:szCs w:val="21"/>
        </w:rPr>
        <w:t>二、欧投行中小企业贷款业务的基本条件</w:t>
      </w:r>
    </w:p>
    <w:p w14:paraId="0DD6655E" w14:textId="77777777" w:rsidR="005A0D4E" w:rsidRPr="005A0D4E" w:rsidRDefault="005A0D4E" w:rsidP="005A0D4E">
      <w:pPr>
        <w:spacing w:line="360" w:lineRule="auto"/>
        <w:ind w:firstLineChars="202" w:firstLine="424"/>
        <w:rPr>
          <w:rFonts w:asciiTheme="minorEastAsia" w:eastAsiaTheme="minorEastAsia" w:hAnsiTheme="minorEastAsia"/>
          <w:szCs w:val="21"/>
        </w:rPr>
      </w:pPr>
      <w:r w:rsidRPr="005A0D4E">
        <w:rPr>
          <w:rFonts w:asciiTheme="minorEastAsia" w:eastAsiaTheme="minorEastAsia" w:hAnsiTheme="minorEastAsia" w:hint="eastAsia"/>
          <w:szCs w:val="21"/>
        </w:rPr>
        <w:t>欧投行的“全球贷款”业务涉及三方主体，即欧投行、金融中介和最终受益人（本文中为中小企业）。一般而言，欧投行会对贷款的基本条件做出一些规定，不过贷款</w:t>
      </w:r>
      <w:r w:rsidRPr="005A0D4E">
        <w:rPr>
          <w:rFonts w:asciiTheme="minorEastAsia" w:eastAsiaTheme="minorEastAsia" w:hAnsiTheme="minorEastAsia" w:hint="eastAsia"/>
          <w:szCs w:val="21"/>
        </w:rPr>
        <w:lastRenderedPageBreak/>
        <w:t>的最终发放条件还是由金融中介决定。</w:t>
      </w:r>
    </w:p>
    <w:p w14:paraId="74FB8244"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在贷款对象方面，欧投行采取了欧共体对中小企业的定义。如表2所示，该定义包含三个方面：员工人数少于250人、全年营业额不超过5000万欧元、年度资产负债表合计数低于4300万欧元（EC, 2003）。</w:t>
      </w:r>
      <w:r w:rsidRPr="005A0D4E">
        <w:rPr>
          <w:rFonts w:asciiTheme="minorEastAsia" w:eastAsiaTheme="minorEastAsia" w:hAnsiTheme="minorEastAsia"/>
          <w:szCs w:val="21"/>
        </w:rPr>
        <w:t>不过，由于数量众多的小微企业往往更难取得融资，因而成为欧投行</w:t>
      </w:r>
      <w:r w:rsidRPr="005A0D4E">
        <w:rPr>
          <w:rFonts w:asciiTheme="minorEastAsia" w:eastAsiaTheme="minorEastAsia" w:hAnsiTheme="minorEastAsia" w:hint="eastAsia"/>
          <w:szCs w:val="21"/>
        </w:rPr>
        <w:t>支持</w:t>
      </w:r>
      <w:r w:rsidRPr="005A0D4E">
        <w:rPr>
          <w:rFonts w:asciiTheme="minorEastAsia" w:eastAsiaTheme="minorEastAsia" w:hAnsiTheme="minorEastAsia"/>
          <w:szCs w:val="21"/>
        </w:rPr>
        <w:t>的重中之重。2005-2011年间，接受</w:t>
      </w:r>
      <w:r w:rsidRPr="005A0D4E">
        <w:rPr>
          <w:rFonts w:asciiTheme="minorEastAsia" w:eastAsiaTheme="minorEastAsia" w:hAnsiTheme="minorEastAsia" w:hint="eastAsia"/>
          <w:szCs w:val="21"/>
        </w:rPr>
        <w:t>“全球贷款”的中小企业中有80%为员工数少于50人的小微企业（EIB, 2013）。</w:t>
      </w:r>
    </w:p>
    <w:p w14:paraId="6FC1509A" w14:textId="77777777" w:rsidR="005A0D4E" w:rsidRPr="005A0D4E" w:rsidRDefault="005A0D4E" w:rsidP="005A0D4E">
      <w:pPr>
        <w:spacing w:beforeLines="50" w:before="120" w:line="360" w:lineRule="auto"/>
        <w:rPr>
          <w:rFonts w:asciiTheme="minorEastAsia" w:eastAsiaTheme="minorEastAsia" w:hAnsiTheme="minorEastAsia"/>
          <w:szCs w:val="21"/>
        </w:rPr>
      </w:pPr>
      <w:r w:rsidRPr="005A0D4E">
        <w:rPr>
          <w:rFonts w:asciiTheme="minorEastAsia" w:eastAsiaTheme="minorEastAsia" w:hAnsiTheme="minorEastAsia" w:hint="eastAsia"/>
          <w:szCs w:val="21"/>
        </w:rPr>
        <w:t>表2  欧共体对中小企业的定义</w:t>
      </w:r>
    </w:p>
    <w:tbl>
      <w:tblPr>
        <w:tblStyle w:val="af8"/>
        <w:tblW w:w="8613" w:type="dxa"/>
        <w:jc w:val="center"/>
        <w:tblLook w:val="04A0" w:firstRow="1" w:lastRow="0" w:firstColumn="1" w:lastColumn="0" w:noHBand="0" w:noVBand="1"/>
      </w:tblPr>
      <w:tblGrid>
        <w:gridCol w:w="1951"/>
        <w:gridCol w:w="2410"/>
        <w:gridCol w:w="1843"/>
        <w:gridCol w:w="2409"/>
      </w:tblGrid>
      <w:tr w:rsidR="005A0D4E" w:rsidRPr="005A0D4E" w14:paraId="2EBAA192" w14:textId="77777777" w:rsidTr="005A0D4E">
        <w:trPr>
          <w:jc w:val="center"/>
        </w:trPr>
        <w:tc>
          <w:tcPr>
            <w:tcW w:w="1951" w:type="dxa"/>
            <w:hideMark/>
          </w:tcPr>
          <w:p w14:paraId="663E2558" w14:textId="77777777" w:rsidR="005A0D4E" w:rsidRPr="005A0D4E" w:rsidRDefault="005A0D4E" w:rsidP="00D2614A">
            <w:pPr>
              <w:widowControl/>
              <w:spacing w:before="60" w:after="60" w:line="360" w:lineRule="auto"/>
              <w:jc w:val="center"/>
              <w:rPr>
                <w:rFonts w:asciiTheme="minorEastAsia" w:eastAsiaTheme="minorEastAsia" w:hAnsiTheme="minorEastAsia"/>
                <w:b/>
                <w:bCs/>
                <w:kern w:val="0"/>
                <w:szCs w:val="21"/>
              </w:rPr>
            </w:pPr>
            <w:r w:rsidRPr="005A0D4E">
              <w:rPr>
                <w:rFonts w:asciiTheme="minorEastAsia" w:eastAsiaTheme="minorEastAsia" w:hAnsiTheme="minorEastAsia"/>
                <w:b/>
                <w:bCs/>
                <w:kern w:val="0"/>
                <w:szCs w:val="21"/>
              </w:rPr>
              <w:t>企业种类</w:t>
            </w:r>
          </w:p>
        </w:tc>
        <w:tc>
          <w:tcPr>
            <w:tcW w:w="2410" w:type="dxa"/>
            <w:hideMark/>
          </w:tcPr>
          <w:p w14:paraId="792B957B" w14:textId="77777777" w:rsidR="005A0D4E" w:rsidRPr="005A0D4E" w:rsidRDefault="005A0D4E" w:rsidP="00D2614A">
            <w:pPr>
              <w:widowControl/>
              <w:spacing w:before="60" w:after="60" w:line="360" w:lineRule="auto"/>
              <w:jc w:val="center"/>
              <w:rPr>
                <w:rFonts w:asciiTheme="minorEastAsia" w:eastAsiaTheme="minorEastAsia" w:hAnsiTheme="minorEastAsia"/>
                <w:b/>
                <w:bCs/>
                <w:kern w:val="0"/>
                <w:szCs w:val="21"/>
              </w:rPr>
            </w:pPr>
            <w:r w:rsidRPr="005A0D4E">
              <w:rPr>
                <w:rFonts w:asciiTheme="minorEastAsia" w:eastAsiaTheme="minorEastAsia" w:hAnsiTheme="minorEastAsia"/>
                <w:b/>
                <w:bCs/>
                <w:kern w:val="0"/>
                <w:szCs w:val="21"/>
              </w:rPr>
              <w:t>员工人数</w:t>
            </w:r>
          </w:p>
        </w:tc>
        <w:tc>
          <w:tcPr>
            <w:tcW w:w="1843" w:type="dxa"/>
            <w:hideMark/>
          </w:tcPr>
          <w:p w14:paraId="18127AD5" w14:textId="77777777" w:rsidR="005A0D4E" w:rsidRPr="005A0D4E" w:rsidRDefault="005A0D4E" w:rsidP="00D2614A">
            <w:pPr>
              <w:widowControl/>
              <w:spacing w:before="60" w:after="60" w:line="360" w:lineRule="auto"/>
              <w:jc w:val="center"/>
              <w:rPr>
                <w:rFonts w:asciiTheme="minorEastAsia" w:eastAsiaTheme="minorEastAsia" w:hAnsiTheme="minorEastAsia"/>
                <w:b/>
                <w:bCs/>
                <w:kern w:val="0"/>
                <w:szCs w:val="21"/>
              </w:rPr>
            </w:pPr>
            <w:r w:rsidRPr="005A0D4E">
              <w:rPr>
                <w:rFonts w:asciiTheme="minorEastAsia" w:eastAsiaTheme="minorEastAsia" w:hAnsiTheme="minorEastAsia"/>
                <w:b/>
                <w:bCs/>
                <w:kern w:val="0"/>
                <w:szCs w:val="21"/>
              </w:rPr>
              <w:t>营业额</w:t>
            </w:r>
          </w:p>
        </w:tc>
        <w:tc>
          <w:tcPr>
            <w:tcW w:w="2409" w:type="dxa"/>
            <w:hideMark/>
          </w:tcPr>
          <w:p w14:paraId="17FF0DA1" w14:textId="77777777" w:rsidR="005A0D4E" w:rsidRPr="005A0D4E" w:rsidRDefault="005A0D4E" w:rsidP="00D2614A">
            <w:pPr>
              <w:widowControl/>
              <w:spacing w:before="60" w:after="60" w:line="360" w:lineRule="auto"/>
              <w:jc w:val="center"/>
              <w:rPr>
                <w:rFonts w:asciiTheme="minorEastAsia" w:eastAsiaTheme="minorEastAsia" w:hAnsiTheme="minorEastAsia"/>
                <w:b/>
                <w:bCs/>
                <w:kern w:val="0"/>
                <w:szCs w:val="21"/>
              </w:rPr>
            </w:pPr>
            <w:r w:rsidRPr="005A0D4E">
              <w:rPr>
                <w:rFonts w:asciiTheme="minorEastAsia" w:eastAsiaTheme="minorEastAsia" w:hAnsiTheme="minorEastAsia"/>
                <w:b/>
                <w:bCs/>
                <w:kern w:val="0"/>
                <w:szCs w:val="21"/>
              </w:rPr>
              <w:t>资产负债表合计数</w:t>
            </w:r>
          </w:p>
        </w:tc>
      </w:tr>
      <w:tr w:rsidR="005A0D4E" w:rsidRPr="005A0D4E" w14:paraId="6C51B8F1" w14:textId="77777777" w:rsidTr="005A0D4E">
        <w:trPr>
          <w:jc w:val="center"/>
        </w:trPr>
        <w:tc>
          <w:tcPr>
            <w:tcW w:w="1951" w:type="dxa"/>
            <w:hideMark/>
          </w:tcPr>
          <w:p w14:paraId="48D52DD6"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中型企业</w:t>
            </w:r>
          </w:p>
        </w:tc>
        <w:tc>
          <w:tcPr>
            <w:tcW w:w="2410" w:type="dxa"/>
            <w:hideMark/>
          </w:tcPr>
          <w:p w14:paraId="354C55BE"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&lt; 250</w:t>
            </w:r>
          </w:p>
        </w:tc>
        <w:tc>
          <w:tcPr>
            <w:tcW w:w="1843" w:type="dxa"/>
            <w:hideMark/>
          </w:tcPr>
          <w:p w14:paraId="4C821C2F"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 €50 m</w:t>
            </w:r>
          </w:p>
        </w:tc>
        <w:tc>
          <w:tcPr>
            <w:tcW w:w="2409" w:type="dxa"/>
            <w:hideMark/>
          </w:tcPr>
          <w:p w14:paraId="36801FD3"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 €43 m</w:t>
            </w:r>
          </w:p>
        </w:tc>
      </w:tr>
      <w:tr w:rsidR="005A0D4E" w:rsidRPr="005A0D4E" w14:paraId="7ACBED92" w14:textId="77777777" w:rsidTr="005A0D4E">
        <w:trPr>
          <w:jc w:val="center"/>
        </w:trPr>
        <w:tc>
          <w:tcPr>
            <w:tcW w:w="1951" w:type="dxa"/>
            <w:hideMark/>
          </w:tcPr>
          <w:p w14:paraId="1630E6D8"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小型企业</w:t>
            </w:r>
          </w:p>
        </w:tc>
        <w:tc>
          <w:tcPr>
            <w:tcW w:w="2410" w:type="dxa"/>
            <w:hideMark/>
          </w:tcPr>
          <w:p w14:paraId="6D14B885"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&lt; 50</w:t>
            </w:r>
          </w:p>
        </w:tc>
        <w:tc>
          <w:tcPr>
            <w:tcW w:w="1843" w:type="dxa"/>
            <w:hideMark/>
          </w:tcPr>
          <w:p w14:paraId="4EF7AE2B"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 €10 m</w:t>
            </w:r>
          </w:p>
        </w:tc>
        <w:tc>
          <w:tcPr>
            <w:tcW w:w="2409" w:type="dxa"/>
            <w:hideMark/>
          </w:tcPr>
          <w:p w14:paraId="0EE1782C"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 €10 m</w:t>
            </w:r>
          </w:p>
        </w:tc>
      </w:tr>
      <w:tr w:rsidR="005A0D4E" w:rsidRPr="005A0D4E" w14:paraId="76DF1394" w14:textId="77777777" w:rsidTr="005A0D4E">
        <w:trPr>
          <w:jc w:val="center"/>
        </w:trPr>
        <w:tc>
          <w:tcPr>
            <w:tcW w:w="1951" w:type="dxa"/>
            <w:hideMark/>
          </w:tcPr>
          <w:p w14:paraId="7C660614"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微型企业</w:t>
            </w:r>
          </w:p>
        </w:tc>
        <w:tc>
          <w:tcPr>
            <w:tcW w:w="2410" w:type="dxa"/>
            <w:hideMark/>
          </w:tcPr>
          <w:p w14:paraId="710419D6"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&lt; 10</w:t>
            </w:r>
          </w:p>
        </w:tc>
        <w:tc>
          <w:tcPr>
            <w:tcW w:w="1843" w:type="dxa"/>
            <w:hideMark/>
          </w:tcPr>
          <w:p w14:paraId="45600839"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 €2 m</w:t>
            </w:r>
          </w:p>
        </w:tc>
        <w:tc>
          <w:tcPr>
            <w:tcW w:w="2409" w:type="dxa"/>
            <w:hideMark/>
          </w:tcPr>
          <w:p w14:paraId="102858B0" w14:textId="77777777" w:rsidR="005A0D4E" w:rsidRPr="005A0D4E" w:rsidRDefault="005A0D4E" w:rsidP="00D2614A">
            <w:pPr>
              <w:widowControl/>
              <w:spacing w:before="60" w:after="60" w:line="360" w:lineRule="auto"/>
              <w:jc w:val="center"/>
              <w:rPr>
                <w:rFonts w:asciiTheme="minorEastAsia" w:eastAsiaTheme="minorEastAsia" w:hAnsiTheme="minorEastAsia"/>
                <w:kern w:val="0"/>
                <w:szCs w:val="21"/>
              </w:rPr>
            </w:pPr>
            <w:r w:rsidRPr="005A0D4E">
              <w:rPr>
                <w:rFonts w:asciiTheme="minorEastAsia" w:eastAsiaTheme="minorEastAsia" w:hAnsiTheme="minorEastAsia"/>
                <w:kern w:val="0"/>
                <w:szCs w:val="21"/>
              </w:rPr>
              <w:t>≤ €2 m</w:t>
            </w:r>
          </w:p>
        </w:tc>
      </w:tr>
    </w:tbl>
    <w:p w14:paraId="66FF0515" w14:textId="77777777" w:rsidR="005A0D4E" w:rsidRPr="005A0D4E" w:rsidRDefault="005A0D4E" w:rsidP="005A0D4E">
      <w:pPr>
        <w:spacing w:line="360" w:lineRule="auto"/>
        <w:ind w:firstLineChars="250" w:firstLine="525"/>
        <w:rPr>
          <w:rFonts w:asciiTheme="minorEastAsia" w:eastAsiaTheme="minorEastAsia" w:hAnsiTheme="minorEastAsia"/>
          <w:szCs w:val="21"/>
        </w:rPr>
      </w:pPr>
      <w:r w:rsidRPr="005A0D4E">
        <w:rPr>
          <w:rFonts w:asciiTheme="minorEastAsia" w:eastAsiaTheme="minorEastAsia" w:hAnsiTheme="minorEastAsia" w:hint="eastAsia"/>
          <w:szCs w:val="21"/>
        </w:rPr>
        <w:t>数据来源：</w:t>
      </w:r>
      <w:r w:rsidRPr="005A0D4E">
        <w:rPr>
          <w:rFonts w:asciiTheme="minorEastAsia" w:eastAsiaTheme="minorEastAsia" w:hAnsiTheme="minorEastAsia"/>
          <w:szCs w:val="21"/>
        </w:rPr>
        <w:t>EC</w:t>
      </w:r>
      <w:r w:rsidRPr="005A0D4E">
        <w:rPr>
          <w:rFonts w:asciiTheme="minorEastAsia" w:eastAsiaTheme="minorEastAsia" w:hAnsiTheme="minorEastAsia" w:hint="eastAsia"/>
          <w:szCs w:val="21"/>
        </w:rPr>
        <w:t xml:space="preserve"> (2003)</w:t>
      </w:r>
    </w:p>
    <w:p w14:paraId="6072DB42"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在贷款行业方面，欧投行原则上希望通过“全球贷款”支持中小企业的全面发展，因而并未对金融中介给中小企业的贷款进行具体的行业限制（除了少数禁止行业，例如：军火）。不过，金融中介在审批项目时可能会根据其所在国家政府或自身的行业偏好有所侧重，通常重点领域包括：先进技术、能源合理利用、环境保护、供水和卫生项目以及其它基础设施项目等。</w:t>
      </w:r>
    </w:p>
    <w:p w14:paraId="31524AA5"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在贷款金额方面，欧投行要求申请“全球贷款”的单个项目总投资额不超过2500万欧元，而其所能提供的最高贷款额度为1250万欧元。对于投资额低于1250万欧元的项目，欧投行最高可提供100%的融资；对投资额高于1250万欧元的项目，欧投行可提供的最高贷款金额为1250万欧元，最低金额通常不低于项目投资额的50%（</w:t>
      </w:r>
      <w:r w:rsidRPr="005A0D4E">
        <w:rPr>
          <w:rFonts w:asciiTheme="minorEastAsia" w:eastAsiaTheme="minorEastAsia" w:hAnsiTheme="minorEastAsia"/>
          <w:szCs w:val="21"/>
        </w:rPr>
        <w:t>Griffith-Jones</w:t>
      </w:r>
      <w:r w:rsidRPr="005A0D4E">
        <w:rPr>
          <w:rFonts w:asciiTheme="minorEastAsia" w:eastAsiaTheme="minorEastAsia" w:hAnsiTheme="minorEastAsia" w:hint="eastAsia"/>
          <w:szCs w:val="21"/>
        </w:rPr>
        <w:t xml:space="preserve"> et al., 2011）。</w:t>
      </w:r>
    </w:p>
    <w:p w14:paraId="3D066359"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在贷款期限方面，欧投行对金融中介的贷款期限一般长于中介机构对中小企业的平均贷款期限。金融中介对中小企业的贷款期限通常介于3年到12年不等，根据项目类型由市场竞争性条件来决定。租赁项目的期限可短至3年；物业投资项目则可长至12年；不过，对于一般的工业厂房和设备购置项目，贷款期限通常为5-7年（EIB, 2005）。</w:t>
      </w:r>
    </w:p>
    <w:p w14:paraId="391E2B25" w14:textId="77777777" w:rsid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在贷款利率方面，“全球贷款”可以采用固定利率或可变利率，通常能够给金融</w:t>
      </w:r>
      <w:r w:rsidRPr="005A0D4E">
        <w:rPr>
          <w:rFonts w:asciiTheme="minorEastAsia" w:eastAsiaTheme="minorEastAsia" w:hAnsiTheme="minorEastAsia" w:hint="eastAsia"/>
          <w:szCs w:val="21"/>
        </w:rPr>
        <w:lastRenderedPageBreak/>
        <w:t>中介带来10-15个基点的利率补贴（EIB, 2005）。虽然欧投行要求金融中介将全球贷款的优势传递给中小企业，但是其利率政策同样要求全球贷款不能引起地方金融市场的扭曲；所以在一些金融市场极度落后的地区，利率补贴常常在金融中介向中小企业贷款的过程中被剥离。在这种情况下，金融机构仍以当地的市场利率向企业贷款，而“全球贷款”的优势则通过提供期限较长的贷款来传递（EIB, 2006）。</w:t>
      </w:r>
    </w:p>
    <w:p w14:paraId="366374C8" w14:textId="77777777" w:rsidR="005A0D4E" w:rsidRPr="005A0D4E" w:rsidRDefault="005A0D4E" w:rsidP="005A0D4E">
      <w:pPr>
        <w:spacing w:line="360" w:lineRule="auto"/>
        <w:ind w:firstLineChars="200" w:firstLine="420"/>
        <w:rPr>
          <w:rFonts w:asciiTheme="minorEastAsia" w:eastAsiaTheme="minorEastAsia" w:hAnsiTheme="minorEastAsia"/>
          <w:szCs w:val="21"/>
        </w:rPr>
      </w:pPr>
    </w:p>
    <w:p w14:paraId="5569EDCD" w14:textId="77777777" w:rsidR="005A0D4E" w:rsidRPr="005A0D4E" w:rsidRDefault="005A0D4E" w:rsidP="005A0D4E">
      <w:pPr>
        <w:spacing w:line="360" w:lineRule="auto"/>
        <w:rPr>
          <w:rFonts w:asciiTheme="minorEastAsia" w:eastAsiaTheme="minorEastAsia" w:hAnsiTheme="minorEastAsia"/>
          <w:b/>
          <w:szCs w:val="21"/>
        </w:rPr>
      </w:pPr>
      <w:r w:rsidRPr="005A0D4E">
        <w:rPr>
          <w:rFonts w:asciiTheme="minorEastAsia" w:eastAsiaTheme="minorEastAsia" w:hAnsiTheme="minorEastAsia" w:hint="eastAsia"/>
          <w:b/>
          <w:szCs w:val="21"/>
        </w:rPr>
        <w:t>三、欧投行中小企业贷款业务的运行机制</w:t>
      </w:r>
    </w:p>
    <w:p w14:paraId="5BD4B6A0" w14:textId="77777777" w:rsidR="005A0D4E" w:rsidRPr="005A0D4E" w:rsidRDefault="005A0D4E" w:rsidP="005A0D4E">
      <w:pPr>
        <w:spacing w:line="360" w:lineRule="auto"/>
        <w:ind w:firstLineChars="202" w:firstLine="424"/>
        <w:rPr>
          <w:rFonts w:asciiTheme="minorEastAsia" w:eastAsiaTheme="minorEastAsia" w:hAnsiTheme="minorEastAsia"/>
          <w:szCs w:val="21"/>
        </w:rPr>
      </w:pPr>
      <w:r w:rsidRPr="005A0D4E">
        <w:rPr>
          <w:rFonts w:asciiTheme="minorEastAsia" w:eastAsiaTheme="minorEastAsia" w:hAnsiTheme="minorEastAsia" w:hint="eastAsia"/>
          <w:szCs w:val="21"/>
        </w:rPr>
        <w:t>欧投行“全球贷款”业务的运行模式很</w:t>
      </w:r>
      <w:r w:rsidRPr="005A0D4E">
        <w:rPr>
          <w:rFonts w:asciiTheme="minorEastAsia" w:eastAsiaTheme="minorEastAsia" w:hAnsiTheme="minorEastAsia" w:hint="eastAsia"/>
          <w:bCs/>
          <w:szCs w:val="21"/>
        </w:rPr>
        <w:t>简单</w:t>
      </w:r>
      <w:r w:rsidRPr="005A0D4E">
        <w:rPr>
          <w:rFonts w:asciiTheme="minorEastAsia" w:eastAsiaTheme="minorEastAsia" w:hAnsiTheme="minorEastAsia" w:hint="eastAsia"/>
          <w:szCs w:val="21"/>
        </w:rPr>
        <w:t>，就是由欧投行和金融中介签订协议，前者同意贷款给后者，而后者则同意将款项转贷给适当的最终受益人（例如：中小企业）之后向前者偿付贷款。在放贷过程中，欧投行并没有特殊的市场地位，而是遵循市场化原则向金融中介提供贷款。</w:t>
      </w:r>
    </w:p>
    <w:p w14:paraId="0A6EFA36" w14:textId="77777777" w:rsidR="005A0D4E" w:rsidRPr="005A0D4E" w:rsidRDefault="005A0D4E" w:rsidP="005A0D4E">
      <w:pPr>
        <w:pStyle w:val="2"/>
        <w:spacing w:before="120" w:after="0" w:line="360" w:lineRule="auto"/>
        <w:ind w:firstLineChars="187" w:firstLine="425"/>
        <w:rPr>
          <w:rFonts w:asciiTheme="minorEastAsia" w:eastAsiaTheme="minorEastAsia" w:hAnsiTheme="minorEastAsia"/>
          <w:sz w:val="21"/>
          <w:szCs w:val="21"/>
        </w:rPr>
      </w:pPr>
      <w:r w:rsidRPr="005A0D4E">
        <w:rPr>
          <w:rFonts w:asciiTheme="minorEastAsia" w:eastAsiaTheme="minorEastAsia" w:hAnsiTheme="minorEastAsia" w:hint="eastAsia"/>
          <w:sz w:val="21"/>
          <w:szCs w:val="21"/>
        </w:rPr>
        <w:t>1、欧投行与金融中介合作关系的确立</w:t>
      </w:r>
    </w:p>
    <w:p w14:paraId="5E81942D"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欧投行需要首先识别潜在的金融中介。实际上，承接欧投行“全球贷款”的金融中介大部分之前就已经在其他业务领域（例如：银团贷款、提供担保和债券联合发行）与欧投行建立了合作关系，因此比较容易被选中参与“全球贷款”业务。对于其它金融机构，欧投行</w:t>
      </w:r>
      <w:r w:rsidRPr="005A0D4E">
        <w:rPr>
          <w:rFonts w:asciiTheme="minorEastAsia" w:eastAsiaTheme="minorEastAsia" w:hAnsiTheme="minorEastAsia" w:hint="eastAsia"/>
          <w:kern w:val="0"/>
          <w:szCs w:val="21"/>
        </w:rPr>
        <w:t>的贷款官员通常也已经对其</w:t>
      </w:r>
      <w:r w:rsidRPr="005A0D4E">
        <w:rPr>
          <w:rFonts w:asciiTheme="minorEastAsia" w:eastAsiaTheme="minorEastAsia" w:hAnsiTheme="minorEastAsia" w:hint="eastAsia"/>
          <w:szCs w:val="21"/>
        </w:rPr>
        <w:t>客户资料、信誉以及外部资金需求等信息有所了解，因此识别过程也相对容易。欧投行对金融机构的类型并没有特别限制，排除一个潜在机构的主要原因通常是该机构缺乏独立性，例如：与特定的资产制造商或服务提供商存在联系。</w:t>
      </w:r>
    </w:p>
    <w:p w14:paraId="2C1E62C8"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在选定金融中介后，欧投行还要进行评估、批准、合同谈判和签署等一系列程序来确立双方的合作关系。欧投行对于每一笔“全球贷款”的合作机构都要进行标准化的评估：与新机构的首次合作需要评估的细节较多，以便为该机构建立一个评估基准；而对现有机构重复贷款的评估则可以仅关注较前次合作发生变化的方面。由于欧投行的章程规定由董事会（Board of Directors）承担信贷责任，因此待评估程序完成且管理委员会（Management Committee）满意后，便会正式提交给董事会。董事会批准后，贷款部门将继续完成交易并与金融中介签署合同。</w:t>
      </w:r>
    </w:p>
    <w:p w14:paraId="24C063BB" w14:textId="77777777" w:rsidR="005A0D4E" w:rsidRPr="005A0D4E" w:rsidRDefault="005A0D4E" w:rsidP="005A0D4E">
      <w:pPr>
        <w:pStyle w:val="2"/>
        <w:spacing w:before="120" w:after="0" w:line="360" w:lineRule="auto"/>
        <w:ind w:firstLineChars="187" w:firstLine="425"/>
        <w:rPr>
          <w:rFonts w:asciiTheme="minorEastAsia" w:eastAsiaTheme="minorEastAsia" w:hAnsiTheme="minorEastAsia"/>
          <w:sz w:val="21"/>
          <w:szCs w:val="21"/>
        </w:rPr>
      </w:pPr>
      <w:r w:rsidRPr="005A0D4E">
        <w:rPr>
          <w:rFonts w:asciiTheme="minorEastAsia" w:eastAsiaTheme="minorEastAsia" w:hAnsiTheme="minorEastAsia" w:hint="eastAsia"/>
          <w:sz w:val="21"/>
          <w:szCs w:val="21"/>
        </w:rPr>
        <w:t>2、金融中介在“全球贷款”过程中的职责</w:t>
      </w:r>
    </w:p>
    <w:p w14:paraId="03BEC4F2"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金融中介在“全球贷款”过程中扮演着重要的角色，负责向企业发放贷款的全部流程，并需要向欧投行汇报。具体而言，金融中介的职责包括以下五个方面：</w:t>
      </w:r>
    </w:p>
    <w:p w14:paraId="48961A62"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lastRenderedPageBreak/>
        <w:t>首先，金融中介直接负责识别、评估、验收和监控中小企业及其对资金的使用情况。金融中介与欧投行的“全球贷款”合同需要附上关于资金适用范围和使用条件的说明，不过欧投行通常会赋予金融中介一定的灵活性，例如：以中小企业为首要目标的贷款也可以被用于环境或能源项目。在取得“全球贷款”后，整个贷款项目便会呈现在金融中介的资产负债表中，因此其必须直接负责项目从识别到偿付的全部操作流程。</w:t>
      </w:r>
    </w:p>
    <w:p w14:paraId="417EEA5B"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szCs w:val="21"/>
        </w:rPr>
        <w:t>其次，金融中介应采取正常的安全准则来运行</w:t>
      </w:r>
      <w:r w:rsidRPr="005A0D4E">
        <w:rPr>
          <w:rFonts w:asciiTheme="minorEastAsia" w:eastAsiaTheme="minorEastAsia" w:hAnsiTheme="minorEastAsia" w:hint="eastAsia"/>
          <w:szCs w:val="21"/>
        </w:rPr>
        <w:t>“</w:t>
      </w:r>
      <w:r w:rsidRPr="005A0D4E">
        <w:rPr>
          <w:rFonts w:asciiTheme="minorEastAsia" w:eastAsiaTheme="minorEastAsia" w:hAnsiTheme="minorEastAsia"/>
          <w:szCs w:val="21"/>
        </w:rPr>
        <w:t>全球贷款</w:t>
      </w:r>
      <w:r w:rsidRPr="005A0D4E">
        <w:rPr>
          <w:rFonts w:asciiTheme="minorEastAsia" w:eastAsiaTheme="minorEastAsia" w:hAnsiTheme="minorEastAsia" w:hint="eastAsia"/>
          <w:szCs w:val="21"/>
        </w:rPr>
        <w:t>”</w:t>
      </w:r>
      <w:r w:rsidRPr="005A0D4E">
        <w:rPr>
          <w:rFonts w:asciiTheme="minorEastAsia" w:eastAsiaTheme="minorEastAsia" w:hAnsiTheme="minorEastAsia"/>
          <w:szCs w:val="21"/>
        </w:rPr>
        <w:t>业务。由于金融</w:t>
      </w:r>
      <w:r w:rsidRPr="005A0D4E">
        <w:rPr>
          <w:rFonts w:asciiTheme="minorEastAsia" w:eastAsiaTheme="minorEastAsia" w:hAnsiTheme="minorEastAsia" w:hint="eastAsia"/>
          <w:szCs w:val="21"/>
        </w:rPr>
        <w:t>中介在获得“全球贷款”后将独自承担全部风险，因此欧投行希望中介机构能够像对待其自有贷款业务一样，采用同样的安全等级和类型来向中小企业提供“全球贷款”。</w:t>
      </w:r>
    </w:p>
    <w:p w14:paraId="3CF18D36"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再次，金融中介需要满足欧投行提出的特定条件。除了前面提到的基本条件，欧投行对于金融中介承接“全球贷款”还提出了一些特定条件，主要包括：所有获得贷款的中小企业都必须遵守欧盟关于环境和采购的法规，欧投行有权进驻获得“全球贷款”的中小企业，金融中介必须告知中小企业贷款来自欧投行。</w:t>
      </w:r>
    </w:p>
    <w:p w14:paraId="19C31687"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szCs w:val="21"/>
        </w:rPr>
        <w:t>此外，</w:t>
      </w:r>
      <w:r w:rsidRPr="005A0D4E">
        <w:rPr>
          <w:rFonts w:asciiTheme="minorEastAsia" w:eastAsiaTheme="minorEastAsia" w:hAnsiTheme="minorEastAsia" w:hint="eastAsia"/>
          <w:szCs w:val="21"/>
        </w:rPr>
        <w:t>金融中介需要</w:t>
      </w:r>
      <w:r w:rsidRPr="005A0D4E">
        <w:rPr>
          <w:rFonts w:asciiTheme="minorEastAsia" w:eastAsiaTheme="minorEastAsia" w:hAnsiTheme="minorEastAsia"/>
          <w:szCs w:val="21"/>
        </w:rPr>
        <w:t>在</w:t>
      </w:r>
      <w:r w:rsidRPr="005A0D4E">
        <w:rPr>
          <w:rFonts w:asciiTheme="minorEastAsia" w:eastAsiaTheme="minorEastAsia" w:hAnsiTheme="minorEastAsia" w:hint="eastAsia"/>
          <w:szCs w:val="21"/>
        </w:rPr>
        <w:t>规定的时间内通过分配报告机制证明贷款被妥善使用。中介机构可以采取</w:t>
      </w:r>
      <w:r w:rsidRPr="005A0D4E">
        <w:rPr>
          <w:rFonts w:asciiTheme="minorEastAsia" w:eastAsiaTheme="minorEastAsia" w:hAnsiTheme="minorEastAsia"/>
          <w:szCs w:val="21"/>
        </w:rPr>
        <w:t>三种不同的</w:t>
      </w:r>
      <w:r w:rsidRPr="005A0D4E">
        <w:rPr>
          <w:rFonts w:asciiTheme="minorEastAsia" w:eastAsiaTheme="minorEastAsia" w:hAnsiTheme="minorEastAsia" w:hint="eastAsia"/>
          <w:szCs w:val="21"/>
        </w:rPr>
        <w:t>分配报告机制</w:t>
      </w:r>
      <w:r w:rsidRPr="005A0D4E">
        <w:rPr>
          <w:rFonts w:asciiTheme="minorEastAsia" w:eastAsiaTheme="minorEastAsia" w:hAnsiTheme="minorEastAsia"/>
          <w:szCs w:val="21"/>
        </w:rPr>
        <w:t>：列表（List Procedure）、卡片（Fiche）和组合（Portfolio Approach）。</w:t>
      </w:r>
      <w:r w:rsidRPr="005A0D4E">
        <w:rPr>
          <w:rFonts w:asciiTheme="minorEastAsia" w:eastAsiaTheme="minorEastAsia" w:hAnsiTheme="minorEastAsia" w:hint="eastAsia"/>
          <w:szCs w:val="21"/>
        </w:rPr>
        <w:t>“列表”指</w:t>
      </w:r>
      <w:r w:rsidRPr="005A0D4E">
        <w:rPr>
          <w:rFonts w:asciiTheme="minorEastAsia" w:eastAsiaTheme="minorEastAsia" w:hAnsiTheme="minorEastAsia"/>
          <w:szCs w:val="21"/>
        </w:rPr>
        <w:t>中介机构需要在获得</w:t>
      </w:r>
      <w:r w:rsidRPr="005A0D4E">
        <w:rPr>
          <w:rFonts w:asciiTheme="minorEastAsia" w:eastAsiaTheme="minorEastAsia" w:hAnsiTheme="minorEastAsia" w:hint="eastAsia"/>
          <w:szCs w:val="21"/>
        </w:rPr>
        <w:t>“全球贷款”之后的一定时间内</w:t>
      </w:r>
      <w:r w:rsidRPr="005A0D4E">
        <w:rPr>
          <w:rFonts w:asciiTheme="minorEastAsia" w:eastAsiaTheme="minorEastAsia" w:hAnsiTheme="minorEastAsia"/>
          <w:szCs w:val="21"/>
        </w:rPr>
        <w:t>提供一个最终受益人的分配名单，上面包含名称、地址、行业、贷款金额和投资成本等信息。</w:t>
      </w:r>
      <w:r w:rsidRPr="005A0D4E">
        <w:rPr>
          <w:rFonts w:asciiTheme="minorEastAsia" w:eastAsiaTheme="minorEastAsia" w:hAnsiTheme="minorEastAsia" w:hint="eastAsia"/>
          <w:szCs w:val="21"/>
        </w:rPr>
        <w:t>“卡片”指中介机构事后要向欧投行提供一页纸的卡片，上面描述了推荐客户和项目的内容概要，较“列表”方式包含更多的细节。“组合”所基于的思想是欧投行在为一个中小企业组合提供融资，因此中介机构需要在对每一笔“全球贷款”的评价中提供一个有关其中小企业贷款组合的分析，包括：行业、规模、区位等（EIB, 2002, 2006）。</w:t>
      </w:r>
    </w:p>
    <w:p w14:paraId="6C43FE93"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szCs w:val="21"/>
        </w:rPr>
        <w:t>最后，金融中介需要</w:t>
      </w:r>
      <w:r w:rsidRPr="005A0D4E">
        <w:rPr>
          <w:rFonts w:asciiTheme="minorEastAsia" w:eastAsiaTheme="minorEastAsia" w:hAnsiTheme="minorEastAsia" w:hint="eastAsia"/>
          <w:szCs w:val="21"/>
        </w:rPr>
        <w:t>对欧投行提供适当的担保。根据欧投行的章程，所有贷款都必须提供符合银行信贷风险指引（</w:t>
      </w:r>
      <w:r w:rsidRPr="005A0D4E">
        <w:rPr>
          <w:rFonts w:asciiTheme="minorEastAsia" w:eastAsiaTheme="minorEastAsia" w:hAnsiTheme="minorEastAsia"/>
          <w:szCs w:val="21"/>
        </w:rPr>
        <w:t>Credit Risk Guidelines</w:t>
      </w:r>
      <w:r w:rsidRPr="005A0D4E">
        <w:rPr>
          <w:rFonts w:asciiTheme="minorEastAsia" w:eastAsiaTheme="minorEastAsia" w:hAnsiTheme="minorEastAsia" w:hint="eastAsia"/>
          <w:szCs w:val="21"/>
        </w:rPr>
        <w:t>）所要求的担保。另外，欧投行对于金融中介还有一个重要的风险限制（exposure limit）：欧投行对于一级银行（prime bank）的“全球贷款”不应超过欧投行自身发放贷款总额的20-25%，或者不应超过一级银行全部贷款的10%。</w:t>
      </w:r>
    </w:p>
    <w:p w14:paraId="078A3CD3" w14:textId="77777777" w:rsidR="005A0D4E" w:rsidRPr="005A0D4E" w:rsidRDefault="005A0D4E" w:rsidP="005A0D4E">
      <w:pPr>
        <w:pStyle w:val="2"/>
        <w:spacing w:before="120" w:after="0" w:line="360" w:lineRule="auto"/>
        <w:ind w:firstLineChars="187" w:firstLine="425"/>
        <w:rPr>
          <w:rFonts w:asciiTheme="minorEastAsia" w:eastAsiaTheme="minorEastAsia" w:hAnsiTheme="minorEastAsia"/>
          <w:sz w:val="21"/>
          <w:szCs w:val="21"/>
        </w:rPr>
      </w:pPr>
      <w:r w:rsidRPr="005A0D4E">
        <w:rPr>
          <w:rFonts w:asciiTheme="minorEastAsia" w:eastAsiaTheme="minorEastAsia" w:hAnsiTheme="minorEastAsia" w:hint="eastAsia"/>
          <w:sz w:val="21"/>
          <w:szCs w:val="21"/>
        </w:rPr>
        <w:t>3、“全球贷款”的市场化运营特点</w:t>
      </w:r>
    </w:p>
    <w:p w14:paraId="5D4C2206"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欧投行在市场上并没有特殊的地位，实际上金融中介还面临着许多其他的资金来</w:t>
      </w:r>
      <w:r w:rsidRPr="005A0D4E">
        <w:rPr>
          <w:rFonts w:asciiTheme="minorEastAsia" w:eastAsiaTheme="minorEastAsia" w:hAnsiTheme="minorEastAsia" w:hint="eastAsia"/>
          <w:szCs w:val="21"/>
        </w:rPr>
        <w:lastRenderedPageBreak/>
        <w:t>源，包括：自有存款、发行债券、银行间市场和其它中介资金等。与“全球贷款”相比，这些资金也具有各自的优劣势，例如：银行长期存款的价格通常大幅低于同期限的“全球贷款”，不过长期存款的金额一般不大；AAA级的金融机构通过发行债券能够获得比“全球贷款”更低的成本，而评级越低的机构则需要支付更高的融资成本。</w:t>
      </w:r>
    </w:p>
    <w:p w14:paraId="4CC222EF" w14:textId="77777777" w:rsidR="005A0D4E" w:rsidRDefault="005A0D4E" w:rsidP="005A0D4E">
      <w:pPr>
        <w:spacing w:line="360" w:lineRule="auto"/>
        <w:rPr>
          <w:rFonts w:asciiTheme="minorEastAsia" w:eastAsiaTheme="minorEastAsia" w:hAnsiTheme="minorEastAsia"/>
          <w:szCs w:val="21"/>
        </w:rPr>
      </w:pPr>
      <w:r w:rsidRPr="005A0D4E">
        <w:rPr>
          <w:rFonts w:asciiTheme="minorEastAsia" w:eastAsiaTheme="minorEastAsia" w:hAnsiTheme="minorEastAsia" w:hint="eastAsia"/>
          <w:szCs w:val="21"/>
        </w:rPr>
        <w:t>因此，欧投行需要凭借金融增值来吸引金融中介承接“全球贷款”。其金融增值主要体现在三个方面：首先，欧投行具有AAA评级，因而可以享有一定的利率优势。不过许多大型银行已经形成对中小企业的成熟贷款机制，而且也具有高评级，从而减弱了欧投行的资金优势。其次，“全球贷款”具有长期资金的优势，成为其</w:t>
      </w:r>
      <w:r w:rsidRPr="005A0D4E">
        <w:rPr>
          <w:rFonts w:asciiTheme="minorEastAsia" w:eastAsiaTheme="minorEastAsia" w:hAnsiTheme="minorEastAsia" w:hint="eastAsia"/>
          <w:kern w:val="0"/>
          <w:szCs w:val="21"/>
        </w:rPr>
        <w:t>相对其它资金而言的一个关键优势，</w:t>
      </w:r>
      <w:r w:rsidRPr="005A0D4E">
        <w:rPr>
          <w:rFonts w:asciiTheme="minorEastAsia" w:eastAsiaTheme="minorEastAsia" w:hAnsiTheme="minorEastAsia" w:hint="eastAsia"/>
          <w:szCs w:val="21"/>
        </w:rPr>
        <w:t>不过其并未在长期资金领域形成垄断。最后，</w:t>
      </w:r>
      <w:r w:rsidRPr="005A0D4E">
        <w:rPr>
          <w:rFonts w:asciiTheme="minorEastAsia" w:eastAsiaTheme="minorEastAsia" w:hAnsiTheme="minorEastAsia" w:hint="eastAsia"/>
          <w:kern w:val="0"/>
          <w:szCs w:val="21"/>
        </w:rPr>
        <w:t>欧投行可以对“全球贷款”的期限和币种采取灵活安排</w:t>
      </w:r>
      <w:r w:rsidRPr="005A0D4E">
        <w:rPr>
          <w:rFonts w:asciiTheme="minorEastAsia" w:eastAsiaTheme="minorEastAsia" w:hAnsiTheme="minorEastAsia" w:hint="eastAsia"/>
          <w:szCs w:val="21"/>
        </w:rPr>
        <w:t>，从而使金融中介能够方便地调整它们的资金需要。</w:t>
      </w:r>
      <w:r w:rsidRPr="005A0D4E">
        <w:rPr>
          <w:rFonts w:asciiTheme="minorEastAsia" w:eastAsiaTheme="minorEastAsia" w:hAnsiTheme="minorEastAsia" w:hint="eastAsia"/>
          <w:kern w:val="0"/>
          <w:szCs w:val="21"/>
        </w:rPr>
        <w:t>上述优势使得与欧</w:t>
      </w:r>
      <w:r w:rsidRPr="005A0D4E">
        <w:rPr>
          <w:rFonts w:asciiTheme="minorEastAsia" w:eastAsiaTheme="minorEastAsia" w:hAnsiTheme="minorEastAsia" w:hint="eastAsia"/>
          <w:szCs w:val="21"/>
        </w:rPr>
        <w:t>投行合作的金融机构数量自</w:t>
      </w:r>
      <w:r w:rsidRPr="005A0D4E">
        <w:rPr>
          <w:rFonts w:asciiTheme="minorEastAsia" w:eastAsiaTheme="minorEastAsia" w:hAnsiTheme="minorEastAsia"/>
          <w:szCs w:val="21"/>
        </w:rPr>
        <w:t>2000</w:t>
      </w:r>
      <w:r w:rsidRPr="005A0D4E">
        <w:rPr>
          <w:rFonts w:asciiTheme="minorEastAsia" w:eastAsiaTheme="minorEastAsia" w:hAnsiTheme="minorEastAsia" w:hint="eastAsia"/>
          <w:szCs w:val="21"/>
        </w:rPr>
        <w:t>年保持了年均近</w:t>
      </w:r>
      <w:r w:rsidRPr="005A0D4E">
        <w:rPr>
          <w:rFonts w:asciiTheme="minorEastAsia" w:eastAsiaTheme="minorEastAsia" w:hAnsiTheme="minorEastAsia"/>
          <w:szCs w:val="21"/>
        </w:rPr>
        <w:t>10%</w:t>
      </w:r>
      <w:r w:rsidRPr="005A0D4E">
        <w:rPr>
          <w:rFonts w:asciiTheme="minorEastAsia" w:eastAsiaTheme="minorEastAsia" w:hAnsiTheme="minorEastAsia" w:hint="eastAsia"/>
          <w:szCs w:val="21"/>
        </w:rPr>
        <w:t>的增速，已经超过了</w:t>
      </w:r>
      <w:r w:rsidRPr="005A0D4E">
        <w:rPr>
          <w:rFonts w:asciiTheme="minorEastAsia" w:eastAsiaTheme="minorEastAsia" w:hAnsiTheme="minorEastAsia"/>
          <w:szCs w:val="21"/>
        </w:rPr>
        <w:t>200</w:t>
      </w:r>
      <w:r w:rsidRPr="005A0D4E">
        <w:rPr>
          <w:rFonts w:asciiTheme="minorEastAsia" w:eastAsiaTheme="minorEastAsia" w:hAnsiTheme="minorEastAsia" w:hint="eastAsia"/>
          <w:szCs w:val="21"/>
        </w:rPr>
        <w:t>家（</w:t>
      </w:r>
      <w:r w:rsidRPr="005A0D4E">
        <w:rPr>
          <w:rFonts w:asciiTheme="minorEastAsia" w:eastAsiaTheme="minorEastAsia" w:hAnsiTheme="minorEastAsia"/>
          <w:szCs w:val="21"/>
        </w:rPr>
        <w:t>EIB, 2005</w:t>
      </w:r>
      <w:r w:rsidRPr="005A0D4E">
        <w:rPr>
          <w:rFonts w:asciiTheme="minorEastAsia" w:eastAsiaTheme="minorEastAsia" w:hAnsiTheme="minorEastAsia" w:hint="eastAsia"/>
          <w:szCs w:val="21"/>
        </w:rPr>
        <w:t>）。</w:t>
      </w:r>
    </w:p>
    <w:p w14:paraId="0912AC6D" w14:textId="77777777" w:rsidR="005A0D4E" w:rsidRPr="005A0D4E" w:rsidRDefault="005A0D4E" w:rsidP="005A0D4E">
      <w:pPr>
        <w:spacing w:line="360" w:lineRule="auto"/>
        <w:rPr>
          <w:rFonts w:asciiTheme="minorEastAsia" w:eastAsiaTheme="minorEastAsia" w:hAnsiTheme="minorEastAsia"/>
          <w:szCs w:val="21"/>
        </w:rPr>
      </w:pPr>
    </w:p>
    <w:p w14:paraId="4EC31419" w14:textId="77777777" w:rsidR="005A0D4E" w:rsidRPr="005A0D4E" w:rsidRDefault="005A0D4E" w:rsidP="005A0D4E">
      <w:pPr>
        <w:spacing w:line="360" w:lineRule="auto"/>
        <w:rPr>
          <w:rFonts w:asciiTheme="minorEastAsia" w:eastAsiaTheme="minorEastAsia" w:hAnsiTheme="minorEastAsia"/>
          <w:b/>
          <w:szCs w:val="21"/>
        </w:rPr>
      </w:pPr>
      <w:r w:rsidRPr="005A0D4E">
        <w:rPr>
          <w:rFonts w:asciiTheme="minorEastAsia" w:eastAsiaTheme="minorEastAsia" w:hAnsiTheme="minorEastAsia" w:hint="eastAsia"/>
          <w:b/>
          <w:szCs w:val="21"/>
        </w:rPr>
        <w:t>四、欧投行中小企业贷款业务对亚投行的启示</w:t>
      </w:r>
    </w:p>
    <w:p w14:paraId="2CE6E4CA" w14:textId="77777777" w:rsidR="005A0D4E" w:rsidRPr="005A0D4E" w:rsidRDefault="005A0D4E" w:rsidP="005A0D4E">
      <w:pPr>
        <w:spacing w:line="360" w:lineRule="auto"/>
        <w:ind w:firstLineChars="202" w:firstLine="424"/>
        <w:rPr>
          <w:rFonts w:asciiTheme="minorEastAsia" w:eastAsiaTheme="minorEastAsia" w:hAnsiTheme="minorEastAsia"/>
          <w:szCs w:val="21"/>
        </w:rPr>
      </w:pPr>
      <w:r w:rsidRPr="005A0D4E">
        <w:rPr>
          <w:rFonts w:asciiTheme="minorEastAsia" w:eastAsiaTheme="minorEastAsia" w:hAnsiTheme="minorEastAsia" w:hint="eastAsia"/>
          <w:szCs w:val="21"/>
        </w:rPr>
        <w:t>第一，包括亚投行在内的多边开发银行有必要开展中小企业贷款业务。如前所述，中小企业是各国经济中的重要组成部分，对于促进就业、拉动增长、激励创新具有不可忽视的作用。亚投行将中小企业贷款业务作为大型基础设施项目贷款的补充，不仅依然符合其服务于区域经济发展的宗旨，而且有助于在区域经济中发挥更广泛的作用以及提升多边银行自身的绩效水平。</w:t>
      </w:r>
    </w:p>
    <w:p w14:paraId="30E3EDD4"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第二，多边开发银行的中小企业贷款业务宜通过金融中介转贷。欧投行将贷款提供给各国金融中介再由之转贷给中小企业的做法，有效解决了中小企业贷款金额小、数量大所带来的成本问题，而且中介机构独自承担项目风险使多边开发银行几乎不用承担不良贷款，从而有助于提升经营绩效。同时，欧投行的经验还表明，亚投行也可以和各国金融机构在除中小企业贷款以外的业务领域展开合作，这将有助于亚投行与成员国的金融机构建立密切的合作关系，在更加广泛的业务范围形成优势互补。一方面放大了亚投行的杠杆效应，增强了亚投行的业务影响力；另一方面还可以降低投资风险。</w:t>
      </w:r>
    </w:p>
    <w:p w14:paraId="3327ACB1"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第三，亚投行对于与之合作的中介机构应慎重选择，并清晰界定二者之间的权责范围。与欧投行相比，新成立的亚投行在选择合作伙伴的过程中可能面临着更多的信</w:t>
      </w:r>
      <w:r w:rsidRPr="005A0D4E">
        <w:rPr>
          <w:rFonts w:asciiTheme="minorEastAsia" w:eastAsiaTheme="minorEastAsia" w:hAnsiTheme="minorEastAsia" w:hint="eastAsia"/>
          <w:szCs w:val="21"/>
        </w:rPr>
        <w:lastRenderedPageBreak/>
        <w:t>息不对称，因此可以首先考虑与亚洲各国的政府开发银行展开合作，然后在与商业金融机构开展其他业务合作的过程中不断物色中小企业贷款业务的合作机构。同时，亚投行在开展中小企业贷款业务的过程中应明确自身与中介机构的角色定位。亚投行应行使总体贷款的发放和监督职能，中介机构则应直接负责具体贷款的操作流程并独自承担贷款风险。</w:t>
      </w:r>
    </w:p>
    <w:p w14:paraId="1418D181"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hint="eastAsia"/>
          <w:szCs w:val="21"/>
        </w:rPr>
        <w:t>第四，亚投行对中小企业贷款的条件应在参考欧投行做法的基础上，结合亚洲地区的实际需要。欧投行在中小企业贷款的条件安排上有许多值得借鉴的地方，例如，以长期贷款为主的方式极大地解决了中小企业长期资金的短缺问题，对贷款期限和币种的灵活安排则更有利于金融中介调整资金需要。亚洲的经济发展水平还明显落后于欧洲，因此在对中小企业的界定、项目金额的标准以及贷款项目的领域等方面，亚投行需要充分考虑亚洲地区的实际情况，再进行相应的安排。</w:t>
      </w:r>
    </w:p>
    <w:p w14:paraId="1729F51E" w14:textId="77777777" w:rsidR="005A0D4E" w:rsidRPr="005A0D4E" w:rsidRDefault="005A0D4E" w:rsidP="005A0D4E">
      <w:pPr>
        <w:spacing w:line="360" w:lineRule="auto"/>
        <w:ind w:firstLineChars="200" w:firstLine="420"/>
        <w:rPr>
          <w:rFonts w:asciiTheme="minorEastAsia" w:eastAsiaTheme="minorEastAsia" w:hAnsiTheme="minorEastAsia"/>
          <w:szCs w:val="21"/>
        </w:rPr>
      </w:pPr>
      <w:r w:rsidRPr="005A0D4E">
        <w:rPr>
          <w:rFonts w:asciiTheme="minorEastAsia" w:eastAsiaTheme="minorEastAsia" w:hAnsiTheme="minorEastAsia"/>
          <w:szCs w:val="21"/>
        </w:rPr>
        <w:t>最后，亚投行</w:t>
      </w:r>
      <w:r w:rsidRPr="005A0D4E">
        <w:rPr>
          <w:rFonts w:asciiTheme="minorEastAsia" w:eastAsiaTheme="minorEastAsia" w:hAnsiTheme="minorEastAsia" w:hint="eastAsia"/>
          <w:szCs w:val="21"/>
        </w:rPr>
        <w:t>的中小企业贷款业务应坚持市场化运作。如果亚投行决定参与中小企业贷款业务，则应充分遵循市场规则。一方面，亚投行应致力于维护各国金融市场的公平秩序，并在市场失灵的领域给予支持。因此，亚投行对各国金融机构提供的中小企业贷款应充分参考当地市场现有类似产品的条件，或者对当地市场欠缺的产品进行补充，而不应当替代和挤出市场上的已有产品。另一方面，公平竞争的市场条件也有助于亚投行获得公平利润。亚投行也需要实现适当的盈利来维持自身的正常运营并回馈股东，因此开展市场化的中小企业贷款业务将有助于提升盈利水平，而其前提则是坚持市场化的运行规律。</w:t>
      </w:r>
    </w:p>
    <w:p w14:paraId="7BE7DBF0" w14:textId="4F70520E" w:rsidR="00E32D20" w:rsidRDefault="00E32D20" w:rsidP="00E32D20">
      <w:pPr>
        <w:spacing w:line="360" w:lineRule="auto"/>
        <w:rPr>
          <w:rFonts w:asciiTheme="minorEastAsia" w:eastAsiaTheme="minorEastAsia" w:hAnsiTheme="minorEastAsia"/>
          <w:szCs w:val="21"/>
        </w:rPr>
      </w:pPr>
    </w:p>
    <w:p w14:paraId="79A31A73" w14:textId="77777777" w:rsidR="005A0D4E" w:rsidRPr="005A0D4E" w:rsidRDefault="005A0D4E" w:rsidP="005A0D4E">
      <w:pPr>
        <w:spacing w:line="360" w:lineRule="auto"/>
        <w:rPr>
          <w:rFonts w:asciiTheme="minorEastAsia" w:eastAsiaTheme="minorEastAsia" w:hAnsiTheme="minorEastAsia"/>
          <w:b/>
          <w:szCs w:val="21"/>
        </w:rPr>
      </w:pPr>
      <w:r w:rsidRPr="005A0D4E">
        <w:rPr>
          <w:rFonts w:asciiTheme="minorEastAsia" w:eastAsiaTheme="minorEastAsia" w:hAnsiTheme="minorEastAsia" w:hint="eastAsia"/>
          <w:b/>
          <w:szCs w:val="21"/>
        </w:rPr>
        <w:t>参考文献：</w:t>
      </w:r>
    </w:p>
    <w:p w14:paraId="013AB33B"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ADB (2013). Financial Report 2013.</w:t>
      </w:r>
    </w:p>
    <w:p w14:paraId="43FA95CE"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ADB (2014). Financial Report 2014.</w:t>
      </w:r>
    </w:p>
    <w:p w14:paraId="7F51E297"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ADB (2015). Financial Report 2015.</w:t>
      </w:r>
    </w:p>
    <w:p w14:paraId="036EAF99"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European Community (2003). The new SME definition: User guide and model declaration. European Community, Publication Office.</w:t>
      </w:r>
    </w:p>
    <w:p w14:paraId="4853340F"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EIB (2002). Review of the Current Portfolio Approach for SME Global Loans. (Luxembourg: EIB).</w:t>
      </w:r>
    </w:p>
    <w:p w14:paraId="3B00F51F"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 xml:space="preserve">EIB (2005). Evaluation Report: Evaluation of SME Global Loans in the </w:t>
      </w:r>
      <w:r w:rsidRPr="005A0D4E">
        <w:rPr>
          <w:rFonts w:asciiTheme="minorEastAsia" w:eastAsiaTheme="minorEastAsia" w:hAnsiTheme="minorEastAsia"/>
          <w:szCs w:val="21"/>
        </w:rPr>
        <w:lastRenderedPageBreak/>
        <w:t>Enlarged Union. (Luxembourg: EIB).</w:t>
      </w:r>
    </w:p>
    <w:p w14:paraId="2EC87FA7" w14:textId="60540BA8"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 xml:space="preserve">EIB (2006). Evaluation Report: Evaluation of EIB financing through global loans under the </w:t>
      </w:r>
      <w:proofErr w:type="spellStart"/>
      <w:r w:rsidRPr="005A0D4E">
        <w:rPr>
          <w:rFonts w:asciiTheme="minorEastAsia" w:eastAsiaTheme="minorEastAsia" w:hAnsiTheme="minorEastAsia"/>
          <w:szCs w:val="21"/>
        </w:rPr>
        <w:t>Lomé</w:t>
      </w:r>
      <w:proofErr w:type="spellEnd"/>
      <w:r w:rsidRPr="005A0D4E">
        <w:rPr>
          <w:rFonts w:asciiTheme="minorEastAsia" w:eastAsiaTheme="minorEastAsia" w:hAnsiTheme="minorEastAsia"/>
          <w:szCs w:val="21"/>
        </w:rPr>
        <w:t xml:space="preserve"> IV Convention. (Luxembourg: EIB).</w:t>
      </w:r>
    </w:p>
    <w:p w14:paraId="5CD5F7E4"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EIB (2013). Evaluation Report: Ex post evaluation of EIB Intermediated lending to SMEs in the EU, 2005-2011. (Luxembourg: EIB).</w:t>
      </w:r>
    </w:p>
    <w:p w14:paraId="1793D7F2"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EIB (2013). 2013 Financial Report. (Luxembourg: EIB).</w:t>
      </w:r>
    </w:p>
    <w:p w14:paraId="1DD02AE5"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EIB (2014). 2014 Financial Report. (Luxembourg: EIB).</w:t>
      </w:r>
    </w:p>
    <w:p w14:paraId="560A4DB6"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EIB (2015). 2015 Financial Report. (Luxembourg: EIB).</w:t>
      </w:r>
    </w:p>
    <w:p w14:paraId="645413A2"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 xml:space="preserve">Griffith-Jones, S., Tyson, J., &amp; </w:t>
      </w:r>
      <w:proofErr w:type="spellStart"/>
      <w:r w:rsidRPr="005A0D4E">
        <w:rPr>
          <w:rFonts w:asciiTheme="minorEastAsia" w:eastAsiaTheme="minorEastAsia" w:hAnsiTheme="minorEastAsia"/>
          <w:szCs w:val="21"/>
        </w:rPr>
        <w:t>Calice</w:t>
      </w:r>
      <w:proofErr w:type="spellEnd"/>
      <w:r w:rsidRPr="005A0D4E">
        <w:rPr>
          <w:rFonts w:asciiTheme="minorEastAsia" w:eastAsiaTheme="minorEastAsia" w:hAnsiTheme="minorEastAsia"/>
          <w:szCs w:val="21"/>
        </w:rPr>
        <w:t>, P. (2011). The European Investment Bank and SMEs: Key Lessons for Latin America and the Caribbean. ECLAC.</w:t>
      </w:r>
    </w:p>
    <w:p w14:paraId="088229DD"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proofErr w:type="spellStart"/>
      <w:r w:rsidRPr="005A0D4E">
        <w:rPr>
          <w:rFonts w:asciiTheme="minorEastAsia" w:eastAsiaTheme="minorEastAsia" w:hAnsiTheme="minorEastAsia"/>
          <w:szCs w:val="21"/>
        </w:rPr>
        <w:t>Lewenhak</w:t>
      </w:r>
      <w:proofErr w:type="spellEnd"/>
      <w:r w:rsidRPr="005A0D4E">
        <w:rPr>
          <w:rFonts w:asciiTheme="minorEastAsia" w:eastAsiaTheme="minorEastAsia" w:hAnsiTheme="minorEastAsia"/>
          <w:szCs w:val="21"/>
        </w:rPr>
        <w:t xml:space="preserve">, S. (2012). The Role of the European Investment Bank (RLE Banking &amp; Finance). </w:t>
      </w:r>
      <w:proofErr w:type="spellStart"/>
      <w:r w:rsidRPr="005A0D4E">
        <w:rPr>
          <w:rFonts w:asciiTheme="minorEastAsia" w:eastAsiaTheme="minorEastAsia" w:hAnsiTheme="minorEastAsia"/>
          <w:szCs w:val="21"/>
        </w:rPr>
        <w:t>Routledge</w:t>
      </w:r>
      <w:proofErr w:type="spellEnd"/>
      <w:r w:rsidRPr="005A0D4E">
        <w:rPr>
          <w:rFonts w:asciiTheme="minorEastAsia" w:eastAsiaTheme="minorEastAsia" w:hAnsiTheme="minorEastAsia"/>
          <w:szCs w:val="21"/>
        </w:rPr>
        <w:t>.</w:t>
      </w:r>
    </w:p>
    <w:p w14:paraId="048CA801"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proofErr w:type="spellStart"/>
      <w:r w:rsidRPr="005A0D4E">
        <w:rPr>
          <w:rFonts w:asciiTheme="minorEastAsia" w:eastAsiaTheme="minorEastAsia" w:hAnsiTheme="minorEastAsia"/>
          <w:szCs w:val="21"/>
        </w:rPr>
        <w:t>Pinder</w:t>
      </w:r>
      <w:proofErr w:type="spellEnd"/>
      <w:r w:rsidRPr="005A0D4E">
        <w:rPr>
          <w:rFonts w:asciiTheme="minorEastAsia" w:eastAsiaTheme="minorEastAsia" w:hAnsiTheme="minorEastAsia"/>
          <w:szCs w:val="21"/>
        </w:rPr>
        <w:t xml:space="preserve">, D. A. (1986). Small firms, regional development and the European Investment Bank. JCMS: Journal of Common Market Studies, 24(3), </w:t>
      </w:r>
      <w:proofErr w:type="gramStart"/>
      <w:r w:rsidRPr="005A0D4E">
        <w:rPr>
          <w:rFonts w:asciiTheme="minorEastAsia" w:eastAsiaTheme="minorEastAsia" w:hAnsiTheme="minorEastAsia"/>
          <w:szCs w:val="21"/>
        </w:rPr>
        <w:t>171</w:t>
      </w:r>
      <w:proofErr w:type="gramEnd"/>
      <w:r w:rsidRPr="005A0D4E">
        <w:rPr>
          <w:rFonts w:asciiTheme="minorEastAsia" w:eastAsiaTheme="minorEastAsia" w:hAnsiTheme="minorEastAsia"/>
          <w:szCs w:val="21"/>
        </w:rPr>
        <w:t>-186.</w:t>
      </w:r>
    </w:p>
    <w:p w14:paraId="2315E1FE"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WB (2013). Financial Statements 2013.</w:t>
      </w:r>
    </w:p>
    <w:p w14:paraId="198B8685"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WB (2014). Financial Statements 2014.</w:t>
      </w:r>
    </w:p>
    <w:p w14:paraId="18B46D77" w14:textId="77777777" w:rsidR="005A0D4E" w:rsidRPr="005A0D4E" w:rsidRDefault="005A0D4E" w:rsidP="005A0D4E">
      <w:pPr>
        <w:pStyle w:val="af9"/>
        <w:numPr>
          <w:ilvl w:val="0"/>
          <w:numId w:val="33"/>
        </w:numPr>
        <w:spacing w:line="360" w:lineRule="auto"/>
        <w:ind w:firstLineChars="0"/>
        <w:rPr>
          <w:rFonts w:asciiTheme="minorEastAsia" w:eastAsiaTheme="minorEastAsia" w:hAnsiTheme="minorEastAsia"/>
          <w:szCs w:val="21"/>
        </w:rPr>
      </w:pPr>
      <w:r w:rsidRPr="005A0D4E">
        <w:rPr>
          <w:rFonts w:asciiTheme="minorEastAsia" w:eastAsiaTheme="minorEastAsia" w:hAnsiTheme="minorEastAsia"/>
          <w:szCs w:val="21"/>
        </w:rPr>
        <w:t>WB (2015). Financial Statements 2015.</w:t>
      </w:r>
    </w:p>
    <w:p w14:paraId="5CD83D34" w14:textId="77777777" w:rsidR="005A0D4E" w:rsidRPr="005A0D4E" w:rsidRDefault="005A0D4E" w:rsidP="005A0D4E">
      <w:pPr>
        <w:spacing w:line="360" w:lineRule="auto"/>
        <w:rPr>
          <w:rFonts w:asciiTheme="minorEastAsia" w:eastAsiaTheme="minorEastAsia" w:hAnsiTheme="minorEastAsia"/>
          <w:szCs w:val="21"/>
        </w:rPr>
      </w:pPr>
    </w:p>
    <w:p w14:paraId="6EB0DEF6" w14:textId="6CE1C9FD" w:rsidR="005A0D4E" w:rsidRPr="005A0D4E" w:rsidRDefault="005A0D4E" w:rsidP="005A0D4E">
      <w:pPr>
        <w:spacing w:line="360" w:lineRule="auto"/>
        <w:rPr>
          <w:rFonts w:asciiTheme="minorEastAsia" w:eastAsiaTheme="minorEastAsia" w:hAnsiTheme="minorEastAsia"/>
          <w:szCs w:val="21"/>
        </w:rPr>
      </w:pPr>
    </w:p>
    <w:p w14:paraId="126672DD" w14:textId="77777777" w:rsidR="005A0D4E" w:rsidRPr="005A0D4E" w:rsidRDefault="005A0D4E" w:rsidP="005A0D4E">
      <w:pPr>
        <w:spacing w:line="360" w:lineRule="auto"/>
        <w:rPr>
          <w:rFonts w:asciiTheme="minorEastAsia" w:eastAsiaTheme="minorEastAsia" w:hAnsiTheme="minorEastAsia"/>
          <w:szCs w:val="21"/>
        </w:rPr>
      </w:pPr>
    </w:p>
    <w:p w14:paraId="08ED7B87" w14:textId="77777777" w:rsidR="00134D5E" w:rsidRDefault="00134D5E" w:rsidP="00E32D20">
      <w:pPr>
        <w:spacing w:line="360" w:lineRule="auto"/>
        <w:rPr>
          <w:rFonts w:asciiTheme="minorEastAsia" w:eastAsiaTheme="minorEastAsia" w:hAnsiTheme="minorEastAsia"/>
          <w:szCs w:val="21"/>
        </w:rPr>
      </w:pPr>
    </w:p>
    <w:p w14:paraId="19A8AEE8" w14:textId="77777777" w:rsidR="00134D5E" w:rsidRDefault="00134D5E" w:rsidP="00E32D20">
      <w:pPr>
        <w:spacing w:line="360" w:lineRule="auto"/>
        <w:rPr>
          <w:rFonts w:asciiTheme="minorEastAsia" w:eastAsiaTheme="minorEastAsia" w:hAnsiTheme="minorEastAsia"/>
          <w:szCs w:val="21"/>
        </w:rPr>
      </w:pPr>
    </w:p>
    <w:p w14:paraId="774AAAFB" w14:textId="2D0EECDE" w:rsidR="001F0B15" w:rsidRDefault="005A0D4E" w:rsidP="00134D5E">
      <w:pPr>
        <w:pStyle w:val="a7"/>
        <w:widowControl w:val="0"/>
        <w:rPr>
          <w:lang w:eastAsia="zh-CN"/>
        </w:rPr>
      </w:pPr>
      <w:r>
        <w:rPr>
          <w:noProof/>
          <w:lang w:eastAsia="zh-CN"/>
        </w:rPr>
        <mc:AlternateContent>
          <mc:Choice Requires="wps">
            <w:drawing>
              <wp:anchor distT="0" distB="0" distL="114300" distR="114300" simplePos="0" relativeHeight="251659264" behindDoc="0" locked="0" layoutInCell="1" allowOverlap="1" wp14:anchorId="10D19113" wp14:editId="30A1C12A">
                <wp:simplePos x="0" y="0"/>
                <wp:positionH relativeFrom="column">
                  <wp:posOffset>0</wp:posOffset>
                </wp:positionH>
                <wp:positionV relativeFrom="paragraph">
                  <wp:posOffset>759460</wp:posOffset>
                </wp:positionV>
                <wp:extent cx="4800600" cy="693420"/>
                <wp:effectExtent l="0" t="0" r="25400" b="17780"/>
                <wp:wrapNone/>
                <wp:docPr id="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6934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61F8775" w14:textId="77777777" w:rsidR="005A0D4E" w:rsidRPr="002159DF" w:rsidRDefault="005A0D4E" w:rsidP="008B53EC">
                            <w:pPr>
                              <w:rPr>
                                <w:rFonts w:ascii="宋体" w:hAnsi="宋体"/>
                                <w:szCs w:val="21"/>
                              </w:rPr>
                            </w:pPr>
                            <w:r w:rsidRPr="002159DF">
                              <w:rPr>
                                <w:rFonts w:ascii="宋体" w:hAnsi="宋体" w:hint="eastAsia"/>
                                <w:szCs w:val="21"/>
                              </w:rPr>
                              <w:t>声明：</w:t>
                            </w:r>
                            <w:r w:rsidRPr="002159DF">
                              <w:rPr>
                                <w:rFonts w:ascii="宋体" w:hAnsi="宋体"/>
                                <w:szCs w:val="21"/>
                              </w:rPr>
                              <w:t>本报告非成熟稿件，仅供内部讨论。报告版权为中国社会科学院世界经济与政治研究所国际金融研究中心所有，未经许可，不得以任何形式翻版、复制、上网和刊登。</w:t>
                            </w:r>
                          </w:p>
                          <w:p w14:paraId="729C6AA5" w14:textId="77777777" w:rsidR="005A0D4E" w:rsidRPr="0018151C" w:rsidRDefault="005A0D4E" w:rsidP="008B53E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margin-left:0;margin-top:59.8pt;width:378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" filled="f">
                <v:textbox>
                  <w:txbxContent>
                    <w:p w14:paraId="361F8775" w14:textId="77777777" w:rsidR="005A0D4E" w:rsidRPr="002159DF" w:rsidRDefault="005A0D4E" w:rsidP="008B53EC">
                      <w:pPr>
                        <w:rPr>
                          <w:rFonts w:ascii="宋体" w:hAnsi="宋体"/>
                          <w:szCs w:val="21"/>
                        </w:rPr>
                      </w:pPr>
                      <w:r w:rsidRPr="002159DF">
                        <w:rPr>
                          <w:rFonts w:ascii="宋体" w:hAnsi="宋体" w:hint="eastAsia"/>
                          <w:szCs w:val="21"/>
                        </w:rPr>
                        <w:t>声明：</w:t>
                      </w:r>
                      <w:r w:rsidRPr="002159DF">
                        <w:rPr>
                          <w:rFonts w:ascii="宋体" w:hAnsi="宋体"/>
                          <w:szCs w:val="21"/>
                        </w:rPr>
                        <w:t>本报告非成熟稿件，仅供内部讨论。报告版权为中国社会科学院世界经济与政治研究所国际金融研究中心所有，未经许可，不得以任何形式翻版、复制、上网和刊登。</w:t>
                      </w:r>
                    </w:p>
                    <w:p w14:paraId="729C6AA5" w14:textId="77777777" w:rsidR="005A0D4E" w:rsidRPr="0018151C" w:rsidRDefault="005A0D4E" w:rsidP="008B53EC"/>
                  </w:txbxContent>
                </v:textbox>
              </v:shape>
            </w:pict>
          </mc:Fallback>
        </mc:AlternateContent>
      </w:r>
    </w:p>
    <w:sectPr w:rsidR="001F0B15" w:rsidSect="00E32D20">
      <w:headerReference w:type="default" r:id="rId10"/>
      <w:footerReference w:type="even" r:id="rId11"/>
      <w:footerReference w:type="default" r:id="rId12"/>
      <w:headerReference w:type="first" r:id="rId13"/>
      <w:footnotePr>
        <w:numRestart w:val="eachSect"/>
      </w:footnotePr>
      <w:pgSz w:w="12240" w:h="15840"/>
      <w:pgMar w:top="720" w:right="1080" w:bottom="806" w:left="3427" w:header="720" w:footer="1008"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E1549" w14:textId="77777777" w:rsidR="005A0D4E" w:rsidRDefault="005A0D4E">
      <w:r>
        <w:separator/>
      </w:r>
    </w:p>
  </w:endnote>
  <w:endnote w:type="continuationSeparator" w:id="0">
    <w:p w14:paraId="13009B43" w14:textId="77777777" w:rsidR="005A0D4E" w:rsidRDefault="005A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黑体">
    <w:panose1 w:val="02010609060101010101"/>
    <w:charset w:val="50"/>
    <w:family w:val="auto"/>
    <w:pitch w:val="variable"/>
    <w:sig w:usb0="800002BF" w:usb1="38CF7CFA" w:usb2="00000016" w:usb3="00000000" w:csb0="00040001"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仿宋_GB2312">
    <w:altName w:val="ＭＳ ゴシック"/>
    <w:charset w:val="86"/>
    <w:family w:val="modern"/>
    <w:pitch w:val="fixed"/>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C4BA6" w14:textId="77777777" w:rsidR="005A0D4E" w:rsidRDefault="005A0D4E" w:rsidP="00E51792">
    <w:pPr>
      <w:pStyle w:val="a5"/>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24DED51B" w14:textId="77777777" w:rsidR="005A0D4E" w:rsidRDefault="005A0D4E" w:rsidP="00EC59CA">
    <w:pPr>
      <w:pStyle w:val="a5"/>
      <w:ind w:right="360"/>
    </w:pPr>
  </w:p>
  <w:p w14:paraId="13A23052" w14:textId="77777777" w:rsidR="005A0D4E" w:rsidRDefault="005A0D4E"/>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94FCB" w14:textId="77777777" w:rsidR="005A0D4E" w:rsidRDefault="005A0D4E" w:rsidP="00E51792">
    <w:pPr>
      <w:pStyle w:val="a5"/>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362E0B">
      <w:rPr>
        <w:rStyle w:val="ae"/>
        <w:noProof/>
      </w:rPr>
      <w:t>9</w:t>
    </w:r>
    <w:r>
      <w:rPr>
        <w:rStyle w:val="ae"/>
      </w:rPr>
      <w:fldChar w:fldCharType="end"/>
    </w:r>
  </w:p>
  <w:p w14:paraId="2B86F06B" w14:textId="77777777" w:rsidR="005A0D4E" w:rsidRDefault="005A0D4E" w:rsidP="00EC59CA">
    <w:pPr>
      <w:pStyle w:val="a5"/>
      <w:ind w:right="360"/>
      <w:rPr>
        <w:rFonts w:ascii="Garamond" w:hAnsi="Garamond"/>
        <w:sz w:val="22"/>
      </w:rPr>
    </w:pPr>
    <w:r>
      <w:rPr>
        <w:noProof/>
        <w:sz w:val="22"/>
        <w:lang w:eastAsia="zh-CN"/>
      </w:rPr>
      <w:drawing>
        <wp:anchor distT="0" distB="0" distL="114300" distR="114300" simplePos="0" relativeHeight="251658752" behindDoc="1" locked="0" layoutInCell="1" allowOverlap="1" wp14:anchorId="67346768" wp14:editId="606FF571">
          <wp:simplePos x="0" y="0"/>
          <wp:positionH relativeFrom="margin">
            <wp:align>right</wp:align>
          </wp:positionH>
          <wp:positionV relativeFrom="paragraph">
            <wp:posOffset>-4331335</wp:posOffset>
          </wp:positionV>
          <wp:extent cx="2286000" cy="2246630"/>
          <wp:effectExtent l="0" t="0" r="0" b="1270"/>
          <wp:wrapNone/>
          <wp:docPr id="9" name="图片 9" descr="snowflak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nowflak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2246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C21242" w14:textId="77777777" w:rsidR="005A0D4E" w:rsidRDefault="005A0D4E">
    <w:pPr>
      <w:pStyle w:val="a5"/>
      <w:jc w:val="right"/>
    </w:pPr>
  </w:p>
  <w:p w14:paraId="1A436291" w14:textId="77777777" w:rsidR="005A0D4E" w:rsidRDefault="005A0D4E">
    <w:pPr>
      <w:pStyle w:val="a5"/>
      <w:jc w:val="right"/>
    </w:pPr>
  </w:p>
  <w:p w14:paraId="2629206E" w14:textId="77777777" w:rsidR="005A0D4E" w:rsidRDefault="005A0D4E">
    <w:pPr>
      <w:pStyle w:val="a5"/>
      <w:jc w:val="right"/>
    </w:pPr>
  </w:p>
  <w:p w14:paraId="12CDE7F1" w14:textId="77777777" w:rsidR="005A0D4E" w:rsidRDefault="005A0D4E"/>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17BBC" w14:textId="77777777" w:rsidR="005A0D4E" w:rsidRDefault="005A0D4E">
      <w:r>
        <w:separator/>
      </w:r>
    </w:p>
  </w:footnote>
  <w:footnote w:type="continuationSeparator" w:id="0">
    <w:p w14:paraId="72090220" w14:textId="77777777" w:rsidR="005A0D4E" w:rsidRDefault="005A0D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36292" w14:textId="77777777" w:rsidR="005A0D4E" w:rsidRDefault="005A0D4E">
    <w:pPr>
      <w:pStyle w:val="a3"/>
    </w:pPr>
  </w:p>
  <w:p w14:paraId="4989667C" w14:textId="77777777" w:rsidR="005A0D4E" w:rsidRDefault="005A0D4E">
    <w:pPr>
      <w:pStyle w:val="a3"/>
    </w:pPr>
  </w:p>
  <w:p w14:paraId="372D8F05" w14:textId="77777777" w:rsidR="005A0D4E" w:rsidRDefault="005A0D4E">
    <w:r>
      <w:rPr>
        <w:noProof/>
      </w:rPr>
      <w:drawing>
        <wp:anchor distT="0" distB="0" distL="114300" distR="114300" simplePos="0" relativeHeight="251657728" behindDoc="1" locked="0" layoutInCell="1" allowOverlap="1" wp14:anchorId="5D122437" wp14:editId="1C042CB9">
          <wp:simplePos x="0" y="0"/>
          <wp:positionH relativeFrom="column">
            <wp:posOffset>739140</wp:posOffset>
          </wp:positionH>
          <wp:positionV relativeFrom="paragraph">
            <wp:posOffset>1273175</wp:posOffset>
          </wp:positionV>
          <wp:extent cx="3017520" cy="2613025"/>
          <wp:effectExtent l="0" t="0" r="0" b="0"/>
          <wp:wrapNone/>
          <wp:docPr id="8" name="图片 8" descr="snowflake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nowflake2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26130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35E0F" w14:textId="77777777" w:rsidR="005A0D4E" w:rsidRDefault="005A0D4E">
    <w:pPr>
      <w:tabs>
        <w:tab w:val="left" w:pos="4320"/>
        <w:tab w:val="left" w:pos="7928"/>
      </w:tabs>
      <w:ind w:left="-8"/>
    </w:pPr>
    <w:r>
      <w:rPr>
        <w:noProof/>
        <w:sz w:val="20"/>
      </w:rPr>
      <w:drawing>
        <wp:anchor distT="0" distB="0" distL="114300" distR="114300" simplePos="0" relativeHeight="251656704" behindDoc="1" locked="0" layoutInCell="1" allowOverlap="1" wp14:anchorId="4227E923" wp14:editId="1027AB93">
          <wp:simplePos x="0" y="0"/>
          <wp:positionH relativeFrom="column">
            <wp:posOffset>965835</wp:posOffset>
          </wp:positionH>
          <wp:positionV relativeFrom="paragraph">
            <wp:posOffset>78740</wp:posOffset>
          </wp:positionV>
          <wp:extent cx="3314700" cy="3257550"/>
          <wp:effectExtent l="0" t="0" r="0" b="0"/>
          <wp:wrapNone/>
          <wp:docPr id="10" name="图片 10" descr="snowflak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owflak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700" cy="3257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0C3B17" w14:textId="77777777" w:rsidR="005A0D4E" w:rsidRDefault="005A0D4E">
    <w:pPr>
      <w:tabs>
        <w:tab w:val="left" w:pos="4320"/>
        <w:tab w:val="left" w:pos="7928"/>
      </w:tabs>
      <w:ind w:left="-8"/>
    </w:pPr>
  </w:p>
  <w:p w14:paraId="6643E12E" w14:textId="77777777" w:rsidR="005A0D4E" w:rsidRDefault="005A0D4E">
    <w:pPr>
      <w:tabs>
        <w:tab w:val="left" w:pos="4320"/>
        <w:tab w:val="left" w:pos="7928"/>
      </w:tabs>
      <w:ind w:left="-8"/>
    </w:pPr>
  </w:p>
  <w:p w14:paraId="55229D6B" w14:textId="77777777" w:rsidR="005A0D4E" w:rsidRDefault="005A0D4E">
    <w:pPr>
      <w:tabs>
        <w:tab w:val="left" w:pos="4320"/>
        <w:tab w:val="left" w:pos="7928"/>
      </w:tabs>
      <w:ind w:left="-8"/>
    </w:pPr>
  </w:p>
  <w:p w14:paraId="2BFDE771" w14:textId="77777777" w:rsidR="005A0D4E" w:rsidRDefault="005A0D4E">
    <w:pPr>
      <w:tabs>
        <w:tab w:val="left" w:pos="4320"/>
        <w:tab w:val="left" w:pos="7928"/>
      </w:tabs>
      <w:ind w:left="-8"/>
    </w:pPr>
  </w:p>
  <w:p w14:paraId="46A49E29" w14:textId="77777777" w:rsidR="005A0D4E" w:rsidRDefault="005A0D4E">
    <w:pPr>
      <w:tabs>
        <w:tab w:val="left" w:pos="4320"/>
        <w:tab w:val="left" w:pos="7928"/>
      </w:tabs>
      <w:ind w:left="-8"/>
    </w:pPr>
  </w:p>
  <w:p w14:paraId="34546901" w14:textId="77777777" w:rsidR="005A0D4E" w:rsidRDefault="005A0D4E">
    <w:pPr>
      <w:tabs>
        <w:tab w:val="left" w:pos="4320"/>
        <w:tab w:val="left" w:pos="7928"/>
      </w:tabs>
      <w:ind w:left="-8"/>
    </w:pPr>
  </w:p>
  <w:p w14:paraId="254D2A99" w14:textId="77777777" w:rsidR="005A0D4E" w:rsidRDefault="005A0D4E">
    <w:pPr>
      <w:tabs>
        <w:tab w:val="left" w:pos="990"/>
        <w:tab w:val="left" w:pos="5130"/>
        <w:tab w:val="left" w:pos="7928"/>
      </w:tabs>
      <w:ind w:left="-8"/>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3"/>
      <w:numFmt w:val="chineseCounting"/>
      <w:suff w:val="nothing"/>
      <w:lvlText w:val="(%1）"/>
      <w:lvlJc w:val="left"/>
      <w:pPr>
        <w:ind w:left="0" w:firstLine="0"/>
      </w:pPr>
    </w:lvl>
  </w:abstractNum>
  <w:abstractNum w:abstractNumId="1">
    <w:nsid w:val="0000000B"/>
    <w:multiLevelType w:val="singleLevel"/>
    <w:tmpl w:val="0000000B"/>
    <w:lvl w:ilvl="0">
      <w:start w:val="1"/>
      <w:numFmt w:val="decimal"/>
      <w:suff w:val="nothing"/>
      <w:lvlText w:val="%1、"/>
      <w:lvlJc w:val="left"/>
      <w:pPr>
        <w:ind w:left="0" w:firstLine="0"/>
      </w:pPr>
    </w:lvl>
  </w:abstractNum>
  <w:abstractNum w:abstractNumId="2">
    <w:nsid w:val="073772C5"/>
    <w:multiLevelType w:val="hybridMultilevel"/>
    <w:tmpl w:val="D004C32A"/>
    <w:lvl w:ilvl="0" w:tplc="7A30040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C360F8"/>
    <w:multiLevelType w:val="hybridMultilevel"/>
    <w:tmpl w:val="B1E672D8"/>
    <w:lvl w:ilvl="0" w:tplc="E97266EA">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4">
    <w:nsid w:val="0C6E7721"/>
    <w:multiLevelType w:val="hybridMultilevel"/>
    <w:tmpl w:val="7A8CD56E"/>
    <w:lvl w:ilvl="0" w:tplc="92C4F362">
      <w:start w:val="3"/>
      <w:numFmt w:val="japaneseCounting"/>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0EC6522"/>
    <w:multiLevelType w:val="hybridMultilevel"/>
    <w:tmpl w:val="CEC6200E"/>
    <w:lvl w:ilvl="0" w:tplc="1C322CEC">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50C2624"/>
    <w:multiLevelType w:val="hybridMultilevel"/>
    <w:tmpl w:val="AE8CA5D6"/>
    <w:lvl w:ilvl="0" w:tplc="8BAE2388">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933C3E"/>
    <w:multiLevelType w:val="hybridMultilevel"/>
    <w:tmpl w:val="3C946514"/>
    <w:lvl w:ilvl="0" w:tplc="28EC6A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A751FB2"/>
    <w:multiLevelType w:val="hybridMultilevel"/>
    <w:tmpl w:val="C8166780"/>
    <w:lvl w:ilvl="0" w:tplc="FCEEC5CC">
      <w:start w:val="1"/>
      <w:numFmt w:val="decimal"/>
      <w:lvlText w:val="（%1）"/>
      <w:lvlJc w:val="left"/>
      <w:pPr>
        <w:ind w:left="720" w:hanging="72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C1338D9"/>
    <w:multiLevelType w:val="hybridMultilevel"/>
    <w:tmpl w:val="23421D98"/>
    <w:lvl w:ilvl="0" w:tplc="E940E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C657730"/>
    <w:multiLevelType w:val="hybridMultilevel"/>
    <w:tmpl w:val="650E2AAA"/>
    <w:lvl w:ilvl="0" w:tplc="34680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31E64FF"/>
    <w:multiLevelType w:val="hybridMultilevel"/>
    <w:tmpl w:val="14C2A338"/>
    <w:lvl w:ilvl="0" w:tplc="31E0D6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93C1E13"/>
    <w:multiLevelType w:val="hybridMultilevel"/>
    <w:tmpl w:val="650E2AAA"/>
    <w:lvl w:ilvl="0" w:tplc="34680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2220BBA"/>
    <w:multiLevelType w:val="hybridMultilevel"/>
    <w:tmpl w:val="0A8AB1EC"/>
    <w:lvl w:ilvl="0" w:tplc="F5684E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3B573CE"/>
    <w:multiLevelType w:val="hybridMultilevel"/>
    <w:tmpl w:val="3C3C1A96"/>
    <w:lvl w:ilvl="0" w:tplc="D23836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6F812A9"/>
    <w:multiLevelType w:val="hybridMultilevel"/>
    <w:tmpl w:val="0382CD1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8747E2E"/>
    <w:multiLevelType w:val="hybridMultilevel"/>
    <w:tmpl w:val="650E2AAA"/>
    <w:lvl w:ilvl="0" w:tplc="34680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DD560A1"/>
    <w:multiLevelType w:val="hybridMultilevel"/>
    <w:tmpl w:val="80189ADE"/>
    <w:lvl w:ilvl="0" w:tplc="FC5CE1FE">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8">
    <w:nsid w:val="3E8E0664"/>
    <w:multiLevelType w:val="hybridMultilevel"/>
    <w:tmpl w:val="616A8D88"/>
    <w:lvl w:ilvl="0" w:tplc="350A4D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FED1BE2"/>
    <w:multiLevelType w:val="hybridMultilevel"/>
    <w:tmpl w:val="B02E4FFC"/>
    <w:lvl w:ilvl="0" w:tplc="6D2EF80C">
      <w:start w:val="1"/>
      <w:numFmt w:val="japaneseCounting"/>
      <w:lvlText w:val="%1、"/>
      <w:lvlJc w:val="left"/>
      <w:pPr>
        <w:ind w:left="460" w:hanging="4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0">
    <w:nsid w:val="4566256E"/>
    <w:multiLevelType w:val="hybridMultilevel"/>
    <w:tmpl w:val="48AC5A30"/>
    <w:lvl w:ilvl="0" w:tplc="13AAD19E">
      <w:start w:val="1"/>
      <w:numFmt w:val="japaneseCounting"/>
      <w:lvlText w:val="%1、"/>
      <w:lvlJc w:val="left"/>
      <w:pPr>
        <w:ind w:left="600" w:hanging="600"/>
      </w:pPr>
      <w:rPr>
        <w:rFonts w:asciiTheme="majorHAnsi" w:eastAsiaTheme="majorEastAsia" w:hAnsiTheme="majorHAnsi" w:cstheme="majorBidi" w:hint="default"/>
        <w:b/>
        <w:sz w:val="28"/>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1">
    <w:nsid w:val="489F4068"/>
    <w:multiLevelType w:val="hybridMultilevel"/>
    <w:tmpl w:val="27869DE2"/>
    <w:lvl w:ilvl="0" w:tplc="01B268D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4B0D7282"/>
    <w:multiLevelType w:val="hybridMultilevel"/>
    <w:tmpl w:val="BA6A0F0A"/>
    <w:lvl w:ilvl="0" w:tplc="5AE0DE5C">
      <w:start w:val="1"/>
      <w:numFmt w:val="decimal"/>
      <w:lvlText w:val="（%1）"/>
      <w:lvlJc w:val="left"/>
      <w:pPr>
        <w:ind w:left="720" w:hanging="720"/>
      </w:pPr>
      <w:rPr>
        <w:rFonts w:hint="default"/>
        <w:b/>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504D7136"/>
    <w:multiLevelType w:val="hybridMultilevel"/>
    <w:tmpl w:val="C79056C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4">
    <w:nsid w:val="51F90E2E"/>
    <w:multiLevelType w:val="hybridMultilevel"/>
    <w:tmpl w:val="3F2CF20E"/>
    <w:lvl w:ilvl="0" w:tplc="5C18789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3DE2092"/>
    <w:multiLevelType w:val="hybridMultilevel"/>
    <w:tmpl w:val="9FAE8502"/>
    <w:lvl w:ilvl="0" w:tplc="72F0E812">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26">
    <w:nsid w:val="56BF1FE2"/>
    <w:multiLevelType w:val="hybridMultilevel"/>
    <w:tmpl w:val="58FC34E6"/>
    <w:lvl w:ilvl="0" w:tplc="FDE27F26">
      <w:start w:val="1"/>
      <w:numFmt w:val="japaneseCounting"/>
      <w:lvlText w:val="（%1）"/>
      <w:lvlJc w:val="left"/>
      <w:pPr>
        <w:tabs>
          <w:tab w:val="num" w:pos="780"/>
        </w:tabs>
        <w:ind w:left="780" w:hanging="7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5C5864B0"/>
    <w:multiLevelType w:val="hybridMultilevel"/>
    <w:tmpl w:val="750A6ED0"/>
    <w:lvl w:ilvl="0" w:tplc="7760FF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F783869"/>
    <w:multiLevelType w:val="hybridMultilevel"/>
    <w:tmpl w:val="8E804E00"/>
    <w:lvl w:ilvl="0" w:tplc="7414BD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60C2495"/>
    <w:multiLevelType w:val="hybridMultilevel"/>
    <w:tmpl w:val="F020AF10"/>
    <w:lvl w:ilvl="0" w:tplc="89EC88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647042A"/>
    <w:multiLevelType w:val="hybridMultilevel"/>
    <w:tmpl w:val="CC4C1D04"/>
    <w:lvl w:ilvl="0" w:tplc="A8B82E12">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31">
    <w:nsid w:val="69DB4868"/>
    <w:multiLevelType w:val="hybridMultilevel"/>
    <w:tmpl w:val="79D42316"/>
    <w:lvl w:ilvl="0" w:tplc="C7129FE4">
      <w:start w:val="1"/>
      <w:numFmt w:val="decimal"/>
      <w:lvlText w:val="例%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6B804CE4"/>
    <w:multiLevelType w:val="hybridMultilevel"/>
    <w:tmpl w:val="5BC40C0C"/>
    <w:lvl w:ilvl="0" w:tplc="F26801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26"/>
  </w:num>
  <w:num w:numId="3">
    <w:abstractNumId w:val="1"/>
    <w:lvlOverride w:ilvl="0">
      <w:startOverride w:val="1"/>
    </w:lvlOverride>
  </w:num>
  <w:num w:numId="4">
    <w:abstractNumId w:val="0"/>
    <w:lvlOverride w:ilvl="0">
      <w:startOverride w:val="3"/>
    </w:lvlOverride>
  </w:num>
  <w:num w:numId="5">
    <w:abstractNumId w:val="7"/>
  </w:num>
  <w:num w:numId="6">
    <w:abstractNumId w:val="11"/>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3"/>
  </w:num>
  <w:num w:numId="10">
    <w:abstractNumId w:val="32"/>
  </w:num>
  <w:num w:numId="11">
    <w:abstractNumId w:val="15"/>
  </w:num>
  <w:num w:numId="12">
    <w:abstractNumId w:val="5"/>
  </w:num>
  <w:num w:numId="13">
    <w:abstractNumId w:val="4"/>
  </w:num>
  <w:num w:numId="14">
    <w:abstractNumId w:val="19"/>
  </w:num>
  <w:num w:numId="15">
    <w:abstractNumId w:val="31"/>
  </w:num>
  <w:num w:numId="16">
    <w:abstractNumId w:val="14"/>
  </w:num>
  <w:num w:numId="17">
    <w:abstractNumId w:val="6"/>
  </w:num>
  <w:num w:numId="18">
    <w:abstractNumId w:val="21"/>
  </w:num>
  <w:num w:numId="19">
    <w:abstractNumId w:val="30"/>
  </w:num>
  <w:num w:numId="20">
    <w:abstractNumId w:val="25"/>
  </w:num>
  <w:num w:numId="21">
    <w:abstractNumId w:val="3"/>
  </w:num>
  <w:num w:numId="22">
    <w:abstractNumId w:val="10"/>
  </w:num>
  <w:num w:numId="23">
    <w:abstractNumId w:val="16"/>
  </w:num>
  <w:num w:numId="24">
    <w:abstractNumId w:val="17"/>
  </w:num>
  <w:num w:numId="25">
    <w:abstractNumId w:val="12"/>
  </w:num>
  <w:num w:numId="26">
    <w:abstractNumId w:val="8"/>
  </w:num>
  <w:num w:numId="27">
    <w:abstractNumId w:val="22"/>
  </w:num>
  <w:num w:numId="28">
    <w:abstractNumId w:val="2"/>
  </w:num>
  <w:num w:numId="29">
    <w:abstractNumId w:val="29"/>
  </w:num>
  <w:num w:numId="30">
    <w:abstractNumId w:val="28"/>
  </w:num>
  <w:num w:numId="31">
    <w:abstractNumId w:val="27"/>
  </w:num>
  <w:num w:numId="32">
    <w:abstractNumId w:val="9"/>
  </w:num>
  <w:num w:numId="33">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colormru v:ext="edit" colors="#ffe1e1,#900"/>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864"/>
    <w:rsid w:val="000012D1"/>
    <w:rsid w:val="000429B9"/>
    <w:rsid w:val="00062853"/>
    <w:rsid w:val="00063719"/>
    <w:rsid w:val="000637A1"/>
    <w:rsid w:val="0006579D"/>
    <w:rsid w:val="00077EBE"/>
    <w:rsid w:val="00077FC6"/>
    <w:rsid w:val="0008211C"/>
    <w:rsid w:val="000878E0"/>
    <w:rsid w:val="00090B04"/>
    <w:rsid w:val="00096326"/>
    <w:rsid w:val="000A03CC"/>
    <w:rsid w:val="000A1330"/>
    <w:rsid w:val="000A26C4"/>
    <w:rsid w:val="000A36C9"/>
    <w:rsid w:val="000A71B9"/>
    <w:rsid w:val="000A73B6"/>
    <w:rsid w:val="000B0C83"/>
    <w:rsid w:val="000C5172"/>
    <w:rsid w:val="000D0926"/>
    <w:rsid w:val="000D179E"/>
    <w:rsid w:val="000D2B8D"/>
    <w:rsid w:val="000D5B8F"/>
    <w:rsid w:val="000D74E0"/>
    <w:rsid w:val="000E2776"/>
    <w:rsid w:val="000E78BA"/>
    <w:rsid w:val="000F5C02"/>
    <w:rsid w:val="00111FFC"/>
    <w:rsid w:val="0011331C"/>
    <w:rsid w:val="00113E22"/>
    <w:rsid w:val="0012771E"/>
    <w:rsid w:val="001333D2"/>
    <w:rsid w:val="00134D5E"/>
    <w:rsid w:val="00136D7F"/>
    <w:rsid w:val="001466C9"/>
    <w:rsid w:val="00146BD0"/>
    <w:rsid w:val="00157272"/>
    <w:rsid w:val="001622F4"/>
    <w:rsid w:val="00162854"/>
    <w:rsid w:val="0017134B"/>
    <w:rsid w:val="00173447"/>
    <w:rsid w:val="001739AD"/>
    <w:rsid w:val="00175F4F"/>
    <w:rsid w:val="001760E8"/>
    <w:rsid w:val="00176505"/>
    <w:rsid w:val="0018151C"/>
    <w:rsid w:val="001B1D4D"/>
    <w:rsid w:val="001B20F3"/>
    <w:rsid w:val="001B2864"/>
    <w:rsid w:val="001B49D5"/>
    <w:rsid w:val="001B5C94"/>
    <w:rsid w:val="001C4028"/>
    <w:rsid w:val="001C4A03"/>
    <w:rsid w:val="001C6E07"/>
    <w:rsid w:val="001D26DE"/>
    <w:rsid w:val="001E3941"/>
    <w:rsid w:val="001F0B15"/>
    <w:rsid w:val="001F3380"/>
    <w:rsid w:val="002029C2"/>
    <w:rsid w:val="00210F72"/>
    <w:rsid w:val="00220E7A"/>
    <w:rsid w:val="0022242F"/>
    <w:rsid w:val="0022532E"/>
    <w:rsid w:val="00225410"/>
    <w:rsid w:val="00233980"/>
    <w:rsid w:val="00246599"/>
    <w:rsid w:val="00280557"/>
    <w:rsid w:val="0028560F"/>
    <w:rsid w:val="00285D19"/>
    <w:rsid w:val="00290BC0"/>
    <w:rsid w:val="00292769"/>
    <w:rsid w:val="002A51D2"/>
    <w:rsid w:val="002A61CC"/>
    <w:rsid w:val="002A7E30"/>
    <w:rsid w:val="002B16EA"/>
    <w:rsid w:val="002C3211"/>
    <w:rsid w:val="002D20C7"/>
    <w:rsid w:val="002E567E"/>
    <w:rsid w:val="00320B3C"/>
    <w:rsid w:val="00326975"/>
    <w:rsid w:val="0033052F"/>
    <w:rsid w:val="00330F1D"/>
    <w:rsid w:val="00335C07"/>
    <w:rsid w:val="00337E17"/>
    <w:rsid w:val="0034071D"/>
    <w:rsid w:val="003535BD"/>
    <w:rsid w:val="00362E0B"/>
    <w:rsid w:val="00363326"/>
    <w:rsid w:val="003931CF"/>
    <w:rsid w:val="003A1A65"/>
    <w:rsid w:val="003A6411"/>
    <w:rsid w:val="003A6508"/>
    <w:rsid w:val="003B0A76"/>
    <w:rsid w:val="003B207B"/>
    <w:rsid w:val="003C198D"/>
    <w:rsid w:val="003C2731"/>
    <w:rsid w:val="003C2B41"/>
    <w:rsid w:val="003C3EA6"/>
    <w:rsid w:val="003D4B03"/>
    <w:rsid w:val="003E0AD7"/>
    <w:rsid w:val="004010E7"/>
    <w:rsid w:val="00414C3D"/>
    <w:rsid w:val="00423B59"/>
    <w:rsid w:val="004340E3"/>
    <w:rsid w:val="004364DF"/>
    <w:rsid w:val="00437B41"/>
    <w:rsid w:val="00443ADD"/>
    <w:rsid w:val="00444292"/>
    <w:rsid w:val="00446EF1"/>
    <w:rsid w:val="004506DE"/>
    <w:rsid w:val="004515D3"/>
    <w:rsid w:val="004550B3"/>
    <w:rsid w:val="00463458"/>
    <w:rsid w:val="0046399F"/>
    <w:rsid w:val="00473B8C"/>
    <w:rsid w:val="00475423"/>
    <w:rsid w:val="004768CA"/>
    <w:rsid w:val="0048687C"/>
    <w:rsid w:val="004871DB"/>
    <w:rsid w:val="00495562"/>
    <w:rsid w:val="004959CC"/>
    <w:rsid w:val="004A08F5"/>
    <w:rsid w:val="004A520B"/>
    <w:rsid w:val="004A5829"/>
    <w:rsid w:val="004B0CC1"/>
    <w:rsid w:val="004B4DBE"/>
    <w:rsid w:val="004C09DF"/>
    <w:rsid w:val="004C5CFF"/>
    <w:rsid w:val="004D0B0B"/>
    <w:rsid w:val="004D33F4"/>
    <w:rsid w:val="004E3E37"/>
    <w:rsid w:val="004E480F"/>
    <w:rsid w:val="004E4950"/>
    <w:rsid w:val="004E7040"/>
    <w:rsid w:val="004F04F3"/>
    <w:rsid w:val="004F259A"/>
    <w:rsid w:val="004F4804"/>
    <w:rsid w:val="004F5597"/>
    <w:rsid w:val="004F5AFA"/>
    <w:rsid w:val="00501C22"/>
    <w:rsid w:val="00507926"/>
    <w:rsid w:val="00511E59"/>
    <w:rsid w:val="0051523F"/>
    <w:rsid w:val="005156BF"/>
    <w:rsid w:val="00520696"/>
    <w:rsid w:val="00534563"/>
    <w:rsid w:val="00545780"/>
    <w:rsid w:val="00546721"/>
    <w:rsid w:val="005501DA"/>
    <w:rsid w:val="005519D3"/>
    <w:rsid w:val="00553355"/>
    <w:rsid w:val="005548BD"/>
    <w:rsid w:val="00567966"/>
    <w:rsid w:val="005757AD"/>
    <w:rsid w:val="00582CB9"/>
    <w:rsid w:val="005860AA"/>
    <w:rsid w:val="005865CC"/>
    <w:rsid w:val="0058774A"/>
    <w:rsid w:val="00591C42"/>
    <w:rsid w:val="00594F16"/>
    <w:rsid w:val="005A0D4E"/>
    <w:rsid w:val="005A398B"/>
    <w:rsid w:val="005A6BD8"/>
    <w:rsid w:val="005A7EE1"/>
    <w:rsid w:val="005C0A51"/>
    <w:rsid w:val="005C1BB0"/>
    <w:rsid w:val="005C4488"/>
    <w:rsid w:val="005C4BE6"/>
    <w:rsid w:val="005D0CE8"/>
    <w:rsid w:val="005D2727"/>
    <w:rsid w:val="005D75ED"/>
    <w:rsid w:val="005E799E"/>
    <w:rsid w:val="005F056F"/>
    <w:rsid w:val="005F5408"/>
    <w:rsid w:val="005F6B71"/>
    <w:rsid w:val="00614628"/>
    <w:rsid w:val="006166B5"/>
    <w:rsid w:val="00621304"/>
    <w:rsid w:val="006246A6"/>
    <w:rsid w:val="00625AA1"/>
    <w:rsid w:val="00626308"/>
    <w:rsid w:val="006268E5"/>
    <w:rsid w:val="00632305"/>
    <w:rsid w:val="00641280"/>
    <w:rsid w:val="006445A3"/>
    <w:rsid w:val="00644AE5"/>
    <w:rsid w:val="00652E0B"/>
    <w:rsid w:val="00654D52"/>
    <w:rsid w:val="00663FCB"/>
    <w:rsid w:val="00666EE7"/>
    <w:rsid w:val="00673BAC"/>
    <w:rsid w:val="006747AB"/>
    <w:rsid w:val="00677668"/>
    <w:rsid w:val="006810B1"/>
    <w:rsid w:val="006819DD"/>
    <w:rsid w:val="00683173"/>
    <w:rsid w:val="00684CC2"/>
    <w:rsid w:val="00692A6A"/>
    <w:rsid w:val="006A2036"/>
    <w:rsid w:val="006B00A5"/>
    <w:rsid w:val="006B69DB"/>
    <w:rsid w:val="006B6F1E"/>
    <w:rsid w:val="006C5476"/>
    <w:rsid w:val="006C7231"/>
    <w:rsid w:val="006E09E0"/>
    <w:rsid w:val="006E24A2"/>
    <w:rsid w:val="006E7B6B"/>
    <w:rsid w:val="006F1046"/>
    <w:rsid w:val="00700998"/>
    <w:rsid w:val="00721079"/>
    <w:rsid w:val="00730D15"/>
    <w:rsid w:val="00734AD8"/>
    <w:rsid w:val="00737CED"/>
    <w:rsid w:val="00741B05"/>
    <w:rsid w:val="00741CCB"/>
    <w:rsid w:val="00743EF7"/>
    <w:rsid w:val="00745C64"/>
    <w:rsid w:val="00753D36"/>
    <w:rsid w:val="00756093"/>
    <w:rsid w:val="00765C2E"/>
    <w:rsid w:val="00767E50"/>
    <w:rsid w:val="007726AC"/>
    <w:rsid w:val="0077482B"/>
    <w:rsid w:val="007814C2"/>
    <w:rsid w:val="0078514D"/>
    <w:rsid w:val="00785DB1"/>
    <w:rsid w:val="007B6455"/>
    <w:rsid w:val="007C0181"/>
    <w:rsid w:val="007C2FF3"/>
    <w:rsid w:val="007D1BB0"/>
    <w:rsid w:val="007D36FC"/>
    <w:rsid w:val="007D6AFD"/>
    <w:rsid w:val="007E1BC8"/>
    <w:rsid w:val="007E3223"/>
    <w:rsid w:val="007E6B52"/>
    <w:rsid w:val="007F23CA"/>
    <w:rsid w:val="00800353"/>
    <w:rsid w:val="00804283"/>
    <w:rsid w:val="00804FAD"/>
    <w:rsid w:val="00807C9E"/>
    <w:rsid w:val="008116D7"/>
    <w:rsid w:val="0081580B"/>
    <w:rsid w:val="00823381"/>
    <w:rsid w:val="00827038"/>
    <w:rsid w:val="00831E68"/>
    <w:rsid w:val="008328F8"/>
    <w:rsid w:val="00836A37"/>
    <w:rsid w:val="00845425"/>
    <w:rsid w:val="00853960"/>
    <w:rsid w:val="00860526"/>
    <w:rsid w:val="00860C89"/>
    <w:rsid w:val="00861ECA"/>
    <w:rsid w:val="008672D9"/>
    <w:rsid w:val="008674AE"/>
    <w:rsid w:val="008709F7"/>
    <w:rsid w:val="0088174C"/>
    <w:rsid w:val="0089172C"/>
    <w:rsid w:val="00892164"/>
    <w:rsid w:val="0089421B"/>
    <w:rsid w:val="00897BC5"/>
    <w:rsid w:val="008A1062"/>
    <w:rsid w:val="008A1B1C"/>
    <w:rsid w:val="008A3639"/>
    <w:rsid w:val="008A4431"/>
    <w:rsid w:val="008A7DC0"/>
    <w:rsid w:val="008B08E6"/>
    <w:rsid w:val="008B25FB"/>
    <w:rsid w:val="008B4959"/>
    <w:rsid w:val="008B53EC"/>
    <w:rsid w:val="008C0FE3"/>
    <w:rsid w:val="008C20D9"/>
    <w:rsid w:val="008C7ADA"/>
    <w:rsid w:val="008D1575"/>
    <w:rsid w:val="008D2308"/>
    <w:rsid w:val="008D4A52"/>
    <w:rsid w:val="008D77A3"/>
    <w:rsid w:val="008E28AB"/>
    <w:rsid w:val="008E46A8"/>
    <w:rsid w:val="008E7ADB"/>
    <w:rsid w:val="008F0F50"/>
    <w:rsid w:val="008F169F"/>
    <w:rsid w:val="008F3F5F"/>
    <w:rsid w:val="008F5362"/>
    <w:rsid w:val="008F54C0"/>
    <w:rsid w:val="00914076"/>
    <w:rsid w:val="00915F98"/>
    <w:rsid w:val="00916195"/>
    <w:rsid w:val="00920D84"/>
    <w:rsid w:val="00932F2B"/>
    <w:rsid w:val="00936398"/>
    <w:rsid w:val="009417D1"/>
    <w:rsid w:val="00950C78"/>
    <w:rsid w:val="0095127F"/>
    <w:rsid w:val="00954280"/>
    <w:rsid w:val="00961E3D"/>
    <w:rsid w:val="00965D16"/>
    <w:rsid w:val="009803F8"/>
    <w:rsid w:val="0099296F"/>
    <w:rsid w:val="00993560"/>
    <w:rsid w:val="00993E50"/>
    <w:rsid w:val="009A4789"/>
    <w:rsid w:val="009B19EC"/>
    <w:rsid w:val="009C0453"/>
    <w:rsid w:val="009C73FD"/>
    <w:rsid w:val="009E237E"/>
    <w:rsid w:val="009F1065"/>
    <w:rsid w:val="009F204E"/>
    <w:rsid w:val="009F235A"/>
    <w:rsid w:val="009F5CD9"/>
    <w:rsid w:val="00A022AA"/>
    <w:rsid w:val="00A107E1"/>
    <w:rsid w:val="00A15976"/>
    <w:rsid w:val="00A3038C"/>
    <w:rsid w:val="00A30D5E"/>
    <w:rsid w:val="00A42836"/>
    <w:rsid w:val="00A52D08"/>
    <w:rsid w:val="00A56C0F"/>
    <w:rsid w:val="00A64C0C"/>
    <w:rsid w:val="00A65C27"/>
    <w:rsid w:val="00A6769F"/>
    <w:rsid w:val="00A70EBB"/>
    <w:rsid w:val="00A87EEB"/>
    <w:rsid w:val="00A93761"/>
    <w:rsid w:val="00A94E80"/>
    <w:rsid w:val="00A966F1"/>
    <w:rsid w:val="00AA6E19"/>
    <w:rsid w:val="00AC4842"/>
    <w:rsid w:val="00AC51B8"/>
    <w:rsid w:val="00AD45AD"/>
    <w:rsid w:val="00AD7423"/>
    <w:rsid w:val="00AE0E78"/>
    <w:rsid w:val="00AE36C4"/>
    <w:rsid w:val="00AE7DDD"/>
    <w:rsid w:val="00AF3E81"/>
    <w:rsid w:val="00AF4B70"/>
    <w:rsid w:val="00B00DC1"/>
    <w:rsid w:val="00B0229B"/>
    <w:rsid w:val="00B04A6C"/>
    <w:rsid w:val="00B04E0C"/>
    <w:rsid w:val="00B145FB"/>
    <w:rsid w:val="00B1524B"/>
    <w:rsid w:val="00B35159"/>
    <w:rsid w:val="00B367F3"/>
    <w:rsid w:val="00B36A94"/>
    <w:rsid w:val="00B52C04"/>
    <w:rsid w:val="00B53A30"/>
    <w:rsid w:val="00B61569"/>
    <w:rsid w:val="00B62D59"/>
    <w:rsid w:val="00B912DF"/>
    <w:rsid w:val="00BA3025"/>
    <w:rsid w:val="00BB354B"/>
    <w:rsid w:val="00BB7A1F"/>
    <w:rsid w:val="00BD6737"/>
    <w:rsid w:val="00C22981"/>
    <w:rsid w:val="00C51A89"/>
    <w:rsid w:val="00C700C4"/>
    <w:rsid w:val="00C77A03"/>
    <w:rsid w:val="00C810FC"/>
    <w:rsid w:val="00C87B43"/>
    <w:rsid w:val="00CA45C3"/>
    <w:rsid w:val="00CA65C7"/>
    <w:rsid w:val="00CB2DAD"/>
    <w:rsid w:val="00CB4298"/>
    <w:rsid w:val="00CC308E"/>
    <w:rsid w:val="00CC64EC"/>
    <w:rsid w:val="00CD6F08"/>
    <w:rsid w:val="00CD70BC"/>
    <w:rsid w:val="00CF218F"/>
    <w:rsid w:val="00D14C8D"/>
    <w:rsid w:val="00D2614A"/>
    <w:rsid w:val="00D41768"/>
    <w:rsid w:val="00D501DA"/>
    <w:rsid w:val="00D53C46"/>
    <w:rsid w:val="00D54B27"/>
    <w:rsid w:val="00D55A35"/>
    <w:rsid w:val="00D605BC"/>
    <w:rsid w:val="00D624EE"/>
    <w:rsid w:val="00D70258"/>
    <w:rsid w:val="00D806A4"/>
    <w:rsid w:val="00D80A79"/>
    <w:rsid w:val="00D872D5"/>
    <w:rsid w:val="00D966CE"/>
    <w:rsid w:val="00DA507B"/>
    <w:rsid w:val="00DA732D"/>
    <w:rsid w:val="00DC4B7E"/>
    <w:rsid w:val="00DC6C1C"/>
    <w:rsid w:val="00DD01A6"/>
    <w:rsid w:val="00DD74F5"/>
    <w:rsid w:val="00DF441D"/>
    <w:rsid w:val="00DF4583"/>
    <w:rsid w:val="00DF5163"/>
    <w:rsid w:val="00DF6E16"/>
    <w:rsid w:val="00DF7AD6"/>
    <w:rsid w:val="00E10050"/>
    <w:rsid w:val="00E10A4B"/>
    <w:rsid w:val="00E11EF2"/>
    <w:rsid w:val="00E26672"/>
    <w:rsid w:val="00E32D20"/>
    <w:rsid w:val="00E36081"/>
    <w:rsid w:val="00E51792"/>
    <w:rsid w:val="00E606BC"/>
    <w:rsid w:val="00E63E6C"/>
    <w:rsid w:val="00E6647E"/>
    <w:rsid w:val="00E717EA"/>
    <w:rsid w:val="00E76DC5"/>
    <w:rsid w:val="00E800BA"/>
    <w:rsid w:val="00E869F0"/>
    <w:rsid w:val="00E9229C"/>
    <w:rsid w:val="00E953D4"/>
    <w:rsid w:val="00E977AF"/>
    <w:rsid w:val="00EA12F1"/>
    <w:rsid w:val="00EB4D85"/>
    <w:rsid w:val="00EB7370"/>
    <w:rsid w:val="00EC0577"/>
    <w:rsid w:val="00EC0728"/>
    <w:rsid w:val="00EC3B99"/>
    <w:rsid w:val="00EC59CA"/>
    <w:rsid w:val="00EE01E0"/>
    <w:rsid w:val="00EE5668"/>
    <w:rsid w:val="00EE72A0"/>
    <w:rsid w:val="00EE7CFD"/>
    <w:rsid w:val="00EF24B7"/>
    <w:rsid w:val="00EF319D"/>
    <w:rsid w:val="00EF561E"/>
    <w:rsid w:val="00EF5D10"/>
    <w:rsid w:val="00EF797D"/>
    <w:rsid w:val="00F03E5B"/>
    <w:rsid w:val="00F05C1D"/>
    <w:rsid w:val="00F2395B"/>
    <w:rsid w:val="00F24A6D"/>
    <w:rsid w:val="00F30043"/>
    <w:rsid w:val="00F33217"/>
    <w:rsid w:val="00F36F20"/>
    <w:rsid w:val="00F44115"/>
    <w:rsid w:val="00F44F7C"/>
    <w:rsid w:val="00F536F3"/>
    <w:rsid w:val="00F5600C"/>
    <w:rsid w:val="00F56421"/>
    <w:rsid w:val="00F64F7B"/>
    <w:rsid w:val="00F6600E"/>
    <w:rsid w:val="00F6677E"/>
    <w:rsid w:val="00F74A7D"/>
    <w:rsid w:val="00FA3B66"/>
    <w:rsid w:val="00FA6354"/>
    <w:rsid w:val="00FA79AE"/>
    <w:rsid w:val="00FB3355"/>
    <w:rsid w:val="00FB47AC"/>
    <w:rsid w:val="00FB722C"/>
    <w:rsid w:val="00FC5C6E"/>
    <w:rsid w:val="00FE122C"/>
    <w:rsid w:val="00FE4212"/>
    <w:rsid w:val="00FF3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ffe1e1,#900"/>
    </o:shapedefaults>
    <o:shapelayout v:ext="edit">
      <o:idmap v:ext="edit" data="1"/>
    </o:shapelayout>
  </w:shapeDefaults>
  <w:decimalSymbol w:val="."/>
  <w:listSeparator w:val=","/>
  <w14:docId w14:val="26F96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link w:val="10"/>
    <w:uiPriority w:val="9"/>
    <w:qFormat/>
    <w:rsid w:val="00DC4B7E"/>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0"/>
    <w:uiPriority w:val="9"/>
    <w:qFormat/>
    <w:rsid w:val="00AC51B8"/>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uiPriority w:val="9"/>
    <w:qFormat/>
    <w:rsid w:val="00EE7CFD"/>
    <w:pPr>
      <w:keepNext/>
      <w:keepLines/>
      <w:spacing w:before="260" w:after="260" w:line="415" w:lineRule="auto"/>
      <w:outlineLvl w:val="2"/>
    </w:pPr>
    <w:rPr>
      <w:b/>
      <w:bCs/>
      <w:sz w:val="32"/>
      <w:szCs w:val="32"/>
    </w:rPr>
  </w:style>
  <w:style w:type="paragraph" w:styleId="4">
    <w:name w:val="heading 4"/>
    <w:basedOn w:val="a"/>
    <w:next w:val="a"/>
    <w:link w:val="40"/>
    <w:uiPriority w:val="9"/>
    <w:unhideWhenUsed/>
    <w:qFormat/>
    <w:rsid w:val="00545780"/>
    <w:pPr>
      <w:keepNext/>
      <w:keepLines/>
      <w:spacing w:before="280" w:after="290" w:line="376" w:lineRule="auto"/>
      <w:outlineLvl w:val="3"/>
    </w:pPr>
    <w:rPr>
      <w:rFonts w:ascii="Cambria" w:hAnsi="Cambria"/>
      <w:b/>
      <w:bCs/>
      <w:sz w:val="28"/>
      <w:szCs w:val="28"/>
    </w:rPr>
  </w:style>
  <w:style w:type="paragraph" w:styleId="5">
    <w:name w:val="heading 5"/>
    <w:basedOn w:val="a"/>
    <w:next w:val="a"/>
    <w:link w:val="50"/>
    <w:uiPriority w:val="9"/>
    <w:unhideWhenUsed/>
    <w:qFormat/>
    <w:rsid w:val="009F106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link w:val="1"/>
    <w:uiPriority w:val="9"/>
    <w:rsid w:val="002A61CC"/>
    <w:rPr>
      <w:rFonts w:ascii="宋体" w:eastAsia="宋体" w:hAnsi="宋体" w:cs="宋体"/>
      <w:b/>
      <w:bCs/>
      <w:kern w:val="36"/>
      <w:sz w:val="48"/>
      <w:szCs w:val="48"/>
      <w:lang w:val="en-US" w:eastAsia="zh-CN" w:bidi="ar-SA"/>
    </w:rPr>
  </w:style>
  <w:style w:type="character" w:customStyle="1" w:styleId="20">
    <w:name w:val="标题 2字符"/>
    <w:link w:val="2"/>
    <w:uiPriority w:val="9"/>
    <w:rsid w:val="002A61CC"/>
    <w:rPr>
      <w:rFonts w:ascii="Arial" w:eastAsia="黑体" w:hAnsi="Arial"/>
      <w:b/>
      <w:bCs/>
      <w:kern w:val="2"/>
      <w:sz w:val="32"/>
      <w:szCs w:val="32"/>
      <w:lang w:val="en-US" w:eastAsia="zh-CN" w:bidi="ar-SA"/>
    </w:rPr>
  </w:style>
  <w:style w:type="character" w:customStyle="1" w:styleId="30">
    <w:name w:val="标题 3字符"/>
    <w:basedOn w:val="a0"/>
    <w:link w:val="3"/>
    <w:uiPriority w:val="9"/>
    <w:rsid w:val="00B62D59"/>
    <w:rPr>
      <w:b/>
      <w:bCs/>
      <w:kern w:val="2"/>
      <w:sz w:val="32"/>
      <w:szCs w:val="32"/>
    </w:rPr>
  </w:style>
  <w:style w:type="character" w:customStyle="1" w:styleId="40">
    <w:name w:val="标题 4字符"/>
    <w:link w:val="4"/>
    <w:uiPriority w:val="9"/>
    <w:rsid w:val="00545780"/>
    <w:rPr>
      <w:rFonts w:ascii="Cambria" w:eastAsia="宋体" w:hAnsi="Cambria" w:cs="Times New Roman"/>
      <w:b/>
      <w:bCs/>
      <w:kern w:val="2"/>
      <w:sz w:val="28"/>
      <w:szCs w:val="28"/>
    </w:rPr>
  </w:style>
  <w:style w:type="paragraph" w:styleId="a3">
    <w:name w:val="header"/>
    <w:basedOn w:val="a"/>
    <w:link w:val="a4"/>
    <w:uiPriority w:val="99"/>
    <w:pPr>
      <w:widowControl/>
      <w:tabs>
        <w:tab w:val="center" w:pos="4320"/>
        <w:tab w:val="right" w:pos="8640"/>
      </w:tabs>
      <w:jc w:val="left"/>
    </w:pPr>
    <w:rPr>
      <w:rFonts w:ascii="Times" w:hAnsi="Times"/>
      <w:kern w:val="0"/>
      <w:sz w:val="24"/>
      <w:szCs w:val="20"/>
      <w:lang w:eastAsia="en-US"/>
    </w:rPr>
  </w:style>
  <w:style w:type="character" w:customStyle="1" w:styleId="a4">
    <w:name w:val="页眉字符"/>
    <w:link w:val="a3"/>
    <w:uiPriority w:val="99"/>
    <w:rsid w:val="008E28AB"/>
    <w:rPr>
      <w:rFonts w:ascii="Times" w:hAnsi="Times"/>
      <w:sz w:val="24"/>
      <w:lang w:eastAsia="en-US"/>
    </w:rPr>
  </w:style>
  <w:style w:type="paragraph" w:styleId="a5">
    <w:name w:val="footer"/>
    <w:basedOn w:val="a"/>
    <w:link w:val="a6"/>
    <w:uiPriority w:val="99"/>
    <w:pPr>
      <w:widowControl/>
      <w:tabs>
        <w:tab w:val="center" w:pos="4320"/>
        <w:tab w:val="right" w:pos="8640"/>
      </w:tabs>
      <w:jc w:val="left"/>
    </w:pPr>
    <w:rPr>
      <w:rFonts w:ascii="Times" w:hAnsi="Times"/>
      <w:kern w:val="0"/>
      <w:sz w:val="24"/>
      <w:szCs w:val="20"/>
      <w:lang w:eastAsia="en-US"/>
    </w:rPr>
  </w:style>
  <w:style w:type="character" w:customStyle="1" w:styleId="a6">
    <w:name w:val="页脚字符"/>
    <w:link w:val="a5"/>
    <w:uiPriority w:val="99"/>
    <w:rsid w:val="008E28AB"/>
    <w:rPr>
      <w:rFonts w:ascii="Times" w:hAnsi="Times"/>
      <w:sz w:val="24"/>
      <w:lang w:eastAsia="en-US"/>
    </w:rPr>
  </w:style>
  <w:style w:type="paragraph" w:styleId="a7">
    <w:name w:val="Body Text"/>
    <w:basedOn w:val="a"/>
    <w:pPr>
      <w:widowControl/>
      <w:spacing w:after="180"/>
      <w:jc w:val="left"/>
    </w:pPr>
    <w:rPr>
      <w:rFonts w:ascii="Garamond" w:hAnsi="Garamond"/>
      <w:kern w:val="0"/>
      <w:sz w:val="22"/>
      <w:szCs w:val="20"/>
      <w:lang w:eastAsia="en-US"/>
    </w:rPr>
  </w:style>
  <w:style w:type="paragraph" w:styleId="a8">
    <w:name w:val="Date"/>
    <w:basedOn w:val="a7"/>
    <w:next w:val="a7"/>
    <w:link w:val="a9"/>
    <w:uiPriority w:val="99"/>
    <w:pPr>
      <w:spacing w:after="480"/>
    </w:pPr>
  </w:style>
  <w:style w:type="character" w:customStyle="1" w:styleId="a9">
    <w:name w:val="日期字符"/>
    <w:link w:val="a8"/>
    <w:uiPriority w:val="99"/>
    <w:rsid w:val="005156BF"/>
    <w:rPr>
      <w:rFonts w:ascii="Garamond" w:hAnsi="Garamond"/>
      <w:sz w:val="22"/>
      <w:lang w:eastAsia="en-US"/>
    </w:rPr>
  </w:style>
  <w:style w:type="paragraph" w:customStyle="1" w:styleId="InsideAddressName">
    <w:name w:val="Inside Address Name"/>
    <w:basedOn w:val="InsideAddress"/>
    <w:pPr>
      <w:keepNext/>
    </w:pPr>
    <w:rPr>
      <w:b/>
    </w:rPr>
  </w:style>
  <w:style w:type="paragraph" w:customStyle="1" w:styleId="InsideAddress">
    <w:name w:val="Inside Address"/>
    <w:basedOn w:val="a7"/>
    <w:pPr>
      <w:widowControl w:val="0"/>
      <w:spacing w:after="0"/>
    </w:pPr>
    <w:rPr>
      <w:rFonts w:eastAsia="Times New Roman"/>
      <w:kern w:val="28"/>
    </w:rPr>
  </w:style>
  <w:style w:type="paragraph" w:styleId="aa">
    <w:name w:val="Salutation"/>
    <w:basedOn w:val="a7"/>
    <w:next w:val="a"/>
    <w:pPr>
      <w:widowControl w:val="0"/>
      <w:spacing w:before="480" w:after="200"/>
    </w:pPr>
    <w:rPr>
      <w:rFonts w:eastAsia="Times New Roman"/>
      <w:kern w:val="28"/>
    </w:rPr>
  </w:style>
  <w:style w:type="paragraph" w:styleId="ab">
    <w:name w:val="Closing"/>
    <w:basedOn w:val="a7"/>
    <w:pPr>
      <w:widowControl w:val="0"/>
      <w:spacing w:after="200"/>
    </w:pPr>
    <w:rPr>
      <w:rFonts w:eastAsia="Times New Roman"/>
      <w:kern w:val="28"/>
    </w:rPr>
  </w:style>
  <w:style w:type="paragraph" w:customStyle="1" w:styleId="Instructions">
    <w:name w:val="Instructions"/>
    <w:basedOn w:val="a"/>
    <w:pPr>
      <w:widowControl/>
      <w:spacing w:line="220" w:lineRule="exact"/>
      <w:jc w:val="left"/>
    </w:pPr>
    <w:rPr>
      <w:rFonts w:ascii="Lucida Sans" w:eastAsia="Times New Roman" w:hAnsi="Lucida Sans"/>
      <w:color w:val="000080"/>
      <w:kern w:val="0"/>
      <w:sz w:val="18"/>
      <w:szCs w:val="20"/>
      <w:lang w:eastAsia="ja-JP"/>
    </w:rPr>
  </w:style>
  <w:style w:type="paragraph" w:customStyle="1" w:styleId="BodyTextInstructions">
    <w:name w:val="Body Text Instructions"/>
    <w:basedOn w:val="a7"/>
  </w:style>
  <w:style w:type="character" w:customStyle="1" w:styleId="BodyTextIcon">
    <w:name w:val="Body Text Icon"/>
    <w:rPr>
      <w:position w:val="-4"/>
    </w:rPr>
  </w:style>
  <w:style w:type="character" w:styleId="ac">
    <w:name w:val="Strong"/>
    <w:uiPriority w:val="22"/>
    <w:qFormat/>
    <w:rPr>
      <w:b/>
      <w:bCs/>
    </w:rPr>
  </w:style>
  <w:style w:type="paragraph" w:styleId="ad">
    <w:name w:val="Normal (Web)"/>
    <w:basedOn w:val="a"/>
    <w:uiPriority w:val="99"/>
    <w:rsid w:val="005F056F"/>
    <w:pPr>
      <w:widowControl/>
      <w:spacing w:before="100" w:beforeAutospacing="1" w:after="100" w:afterAutospacing="1"/>
      <w:jc w:val="left"/>
    </w:pPr>
    <w:rPr>
      <w:rFonts w:ascii="宋体" w:hAnsi="宋体" w:cs="宋体"/>
      <w:kern w:val="0"/>
      <w:sz w:val="24"/>
    </w:rPr>
  </w:style>
  <w:style w:type="character" w:styleId="ae">
    <w:name w:val="page number"/>
    <w:basedOn w:val="a0"/>
    <w:rsid w:val="00EC59CA"/>
  </w:style>
  <w:style w:type="paragraph" w:styleId="af">
    <w:name w:val="footnote text"/>
    <w:aliases w:val=" Char"/>
    <w:basedOn w:val="a"/>
    <w:link w:val="af0"/>
    <w:uiPriority w:val="99"/>
    <w:rsid w:val="00DA732D"/>
    <w:pPr>
      <w:snapToGrid w:val="0"/>
      <w:jc w:val="left"/>
    </w:pPr>
    <w:rPr>
      <w:sz w:val="18"/>
      <w:szCs w:val="18"/>
    </w:rPr>
  </w:style>
  <w:style w:type="character" w:customStyle="1" w:styleId="af0">
    <w:name w:val="脚注文本字符"/>
    <w:aliases w:val=" Char字符"/>
    <w:link w:val="af"/>
    <w:uiPriority w:val="99"/>
    <w:rsid w:val="008672D9"/>
    <w:rPr>
      <w:kern w:val="2"/>
      <w:sz w:val="18"/>
      <w:szCs w:val="18"/>
    </w:rPr>
  </w:style>
  <w:style w:type="character" w:styleId="af1">
    <w:name w:val="footnote reference"/>
    <w:uiPriority w:val="99"/>
    <w:rsid w:val="00DA732D"/>
    <w:rPr>
      <w:vertAlign w:val="superscript"/>
    </w:rPr>
  </w:style>
  <w:style w:type="character" w:styleId="af2">
    <w:name w:val="Hyperlink"/>
    <w:uiPriority w:val="99"/>
    <w:unhideWhenUsed/>
    <w:rsid w:val="008672D9"/>
    <w:rPr>
      <w:color w:val="0000FF"/>
      <w:u w:val="single"/>
    </w:rPr>
  </w:style>
  <w:style w:type="character" w:styleId="af3">
    <w:name w:val="annotation reference"/>
    <w:uiPriority w:val="99"/>
    <w:semiHidden/>
    <w:rsid w:val="009E237E"/>
    <w:rPr>
      <w:sz w:val="21"/>
      <w:szCs w:val="21"/>
    </w:rPr>
  </w:style>
  <w:style w:type="paragraph" w:styleId="af4">
    <w:name w:val="annotation text"/>
    <w:basedOn w:val="a"/>
    <w:link w:val="af5"/>
    <w:uiPriority w:val="99"/>
    <w:semiHidden/>
    <w:rsid w:val="009E237E"/>
    <w:pPr>
      <w:jc w:val="left"/>
    </w:pPr>
  </w:style>
  <w:style w:type="character" w:customStyle="1" w:styleId="af5">
    <w:name w:val="注释文本字符"/>
    <w:basedOn w:val="a0"/>
    <w:link w:val="af4"/>
    <w:uiPriority w:val="99"/>
    <w:semiHidden/>
    <w:rsid w:val="00BD6737"/>
    <w:rPr>
      <w:kern w:val="2"/>
      <w:sz w:val="21"/>
      <w:szCs w:val="24"/>
    </w:rPr>
  </w:style>
  <w:style w:type="paragraph" w:styleId="af6">
    <w:name w:val="Balloon Text"/>
    <w:basedOn w:val="a"/>
    <w:link w:val="af7"/>
    <w:uiPriority w:val="99"/>
    <w:semiHidden/>
    <w:rsid w:val="009E237E"/>
    <w:rPr>
      <w:sz w:val="18"/>
      <w:szCs w:val="18"/>
    </w:rPr>
  </w:style>
  <w:style w:type="character" w:customStyle="1" w:styleId="af7">
    <w:name w:val="批注框文本字符"/>
    <w:link w:val="af6"/>
    <w:uiPriority w:val="99"/>
    <w:semiHidden/>
    <w:rsid w:val="00534563"/>
    <w:rPr>
      <w:kern w:val="2"/>
      <w:sz w:val="18"/>
      <w:szCs w:val="18"/>
    </w:rPr>
  </w:style>
  <w:style w:type="table" w:styleId="af8">
    <w:name w:val="Table Grid"/>
    <w:basedOn w:val="a1"/>
    <w:uiPriority w:val="59"/>
    <w:rsid w:val="001E394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8B25FB"/>
    <w:pPr>
      <w:ind w:firstLineChars="200" w:firstLine="420"/>
    </w:pPr>
    <w:rPr>
      <w:rFonts w:ascii="Calibri" w:hAnsi="Calibri"/>
      <w:szCs w:val="20"/>
    </w:rPr>
  </w:style>
  <w:style w:type="character" w:customStyle="1" w:styleId="CharCharChar">
    <w:name w:val="Char Char Char"/>
    <w:semiHidden/>
    <w:rsid w:val="001B1D4D"/>
    <w:rPr>
      <w:sz w:val="18"/>
      <w:szCs w:val="18"/>
    </w:rPr>
  </w:style>
  <w:style w:type="character" w:customStyle="1" w:styleId="CharChar5">
    <w:name w:val="Char Char5"/>
    <w:rsid w:val="001B1D4D"/>
    <w:rPr>
      <w:b/>
      <w:bCs/>
      <w:kern w:val="44"/>
      <w:sz w:val="44"/>
      <w:szCs w:val="44"/>
    </w:rPr>
  </w:style>
  <w:style w:type="paragraph" w:styleId="afa">
    <w:name w:val="endnote text"/>
    <w:basedOn w:val="a"/>
    <w:link w:val="afb"/>
    <w:uiPriority w:val="99"/>
    <w:unhideWhenUsed/>
    <w:rsid w:val="00D53C46"/>
    <w:pPr>
      <w:snapToGrid w:val="0"/>
      <w:jc w:val="left"/>
    </w:pPr>
    <w:rPr>
      <w:rFonts w:ascii="Calibri" w:hAnsi="Calibri"/>
      <w:szCs w:val="22"/>
    </w:rPr>
  </w:style>
  <w:style w:type="character" w:customStyle="1" w:styleId="afb">
    <w:name w:val="尾注文本字符"/>
    <w:link w:val="afa"/>
    <w:uiPriority w:val="99"/>
    <w:rsid w:val="00D53C46"/>
    <w:rPr>
      <w:rFonts w:ascii="Calibri" w:hAnsi="Calibri"/>
      <w:kern w:val="2"/>
      <w:sz w:val="21"/>
      <w:szCs w:val="22"/>
    </w:rPr>
  </w:style>
  <w:style w:type="character" w:styleId="afc">
    <w:name w:val="endnote reference"/>
    <w:uiPriority w:val="99"/>
    <w:unhideWhenUsed/>
    <w:rsid w:val="00D53C46"/>
    <w:rPr>
      <w:vertAlign w:val="superscript"/>
    </w:rPr>
  </w:style>
  <w:style w:type="paragraph" w:customStyle="1" w:styleId="Default">
    <w:name w:val="Default"/>
    <w:rsid w:val="000D74E0"/>
    <w:pPr>
      <w:widowControl w:val="0"/>
      <w:autoSpaceDE w:val="0"/>
      <w:autoSpaceDN w:val="0"/>
      <w:adjustRightInd w:val="0"/>
    </w:pPr>
    <w:rPr>
      <w:rFonts w:ascii="仿宋_GB2312" w:eastAsia="仿宋_GB2312" w:hAnsi="Calibri" w:cs="仿宋_GB2312"/>
      <w:color w:val="000000"/>
      <w:sz w:val="24"/>
      <w:szCs w:val="24"/>
    </w:rPr>
  </w:style>
  <w:style w:type="character" w:customStyle="1" w:styleId="apple-style-span">
    <w:name w:val="apple-style-span"/>
    <w:basedOn w:val="a0"/>
    <w:rsid w:val="008E28AB"/>
  </w:style>
  <w:style w:type="character" w:styleId="afd">
    <w:name w:val="Emphasis"/>
    <w:uiPriority w:val="20"/>
    <w:qFormat/>
    <w:rsid w:val="0011331C"/>
    <w:rPr>
      <w:b/>
      <w:bCs/>
      <w:i w:val="0"/>
      <w:iCs w:val="0"/>
    </w:rPr>
  </w:style>
  <w:style w:type="table" w:customStyle="1" w:styleId="11">
    <w:name w:val="浅色底纹1"/>
    <w:basedOn w:val="a1"/>
    <w:uiPriority w:val="60"/>
    <w:rsid w:val="00594F16"/>
    <w:rPr>
      <w:rFonts w:ascii="Calibri" w:hAnsi="Calibri"/>
      <w:color w:val="000000"/>
      <w:kern w:val="2"/>
      <w:sz w:val="21"/>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pple-converted-space">
    <w:name w:val="apple-converted-space"/>
    <w:basedOn w:val="a0"/>
    <w:rsid w:val="00BD6737"/>
  </w:style>
  <w:style w:type="paragraph" w:styleId="afe">
    <w:name w:val="annotation subject"/>
    <w:basedOn w:val="af4"/>
    <w:next w:val="af4"/>
    <w:link w:val="aff"/>
    <w:uiPriority w:val="99"/>
    <w:unhideWhenUsed/>
    <w:rsid w:val="00BD6737"/>
    <w:pPr>
      <w:jc w:val="both"/>
    </w:pPr>
    <w:rPr>
      <w:rFonts w:ascii="Calibri" w:hAnsi="Calibri"/>
      <w:b/>
      <w:bCs/>
      <w:sz w:val="20"/>
      <w:szCs w:val="20"/>
    </w:rPr>
  </w:style>
  <w:style w:type="character" w:customStyle="1" w:styleId="aff">
    <w:name w:val="批注主题字符"/>
    <w:basedOn w:val="af5"/>
    <w:link w:val="afe"/>
    <w:uiPriority w:val="99"/>
    <w:rsid w:val="00BD6737"/>
    <w:rPr>
      <w:rFonts w:ascii="Calibri" w:hAnsi="Calibri"/>
      <w:b/>
      <w:bCs/>
      <w:kern w:val="2"/>
      <w:sz w:val="21"/>
      <w:szCs w:val="24"/>
    </w:rPr>
  </w:style>
  <w:style w:type="paragraph" w:styleId="aff0">
    <w:name w:val="Document Map"/>
    <w:basedOn w:val="a"/>
    <w:link w:val="aff1"/>
    <w:uiPriority w:val="99"/>
    <w:unhideWhenUsed/>
    <w:rsid w:val="00BD6737"/>
    <w:rPr>
      <w:rFonts w:ascii="Tahoma" w:hAnsi="Tahoma" w:cs="Tahoma"/>
      <w:sz w:val="16"/>
      <w:szCs w:val="16"/>
    </w:rPr>
  </w:style>
  <w:style w:type="character" w:customStyle="1" w:styleId="aff1">
    <w:name w:val="文档结构图 字符"/>
    <w:basedOn w:val="a0"/>
    <w:link w:val="aff0"/>
    <w:uiPriority w:val="99"/>
    <w:rsid w:val="00BD6737"/>
    <w:rPr>
      <w:rFonts w:ascii="Tahoma" w:hAnsi="Tahoma" w:cs="Tahoma"/>
      <w:kern w:val="2"/>
      <w:sz w:val="16"/>
      <w:szCs w:val="16"/>
    </w:rPr>
  </w:style>
  <w:style w:type="paragraph" w:styleId="aff2">
    <w:name w:val="Title"/>
    <w:basedOn w:val="a"/>
    <w:next w:val="a"/>
    <w:link w:val="aff3"/>
    <w:qFormat/>
    <w:rsid w:val="00920D84"/>
    <w:pPr>
      <w:spacing w:before="240" w:after="60"/>
      <w:jc w:val="center"/>
      <w:outlineLvl w:val="0"/>
    </w:pPr>
    <w:rPr>
      <w:rFonts w:asciiTheme="majorHAnsi" w:hAnsiTheme="majorHAnsi" w:cstheme="majorBidi"/>
      <w:b/>
      <w:bCs/>
      <w:sz w:val="32"/>
      <w:szCs w:val="32"/>
    </w:rPr>
  </w:style>
  <w:style w:type="character" w:customStyle="1" w:styleId="aff3">
    <w:name w:val="标题字符"/>
    <w:basedOn w:val="a0"/>
    <w:link w:val="aff2"/>
    <w:rsid w:val="00920D84"/>
    <w:rPr>
      <w:rFonts w:asciiTheme="majorHAnsi" w:hAnsiTheme="majorHAnsi" w:cstheme="majorBidi"/>
      <w:b/>
      <w:bCs/>
      <w:kern w:val="2"/>
      <w:sz w:val="32"/>
      <w:szCs w:val="32"/>
    </w:rPr>
  </w:style>
  <w:style w:type="character" w:styleId="FollowedHyperlink">
    <w:name w:val="FollowedHyperlink"/>
    <w:basedOn w:val="a0"/>
    <w:uiPriority w:val="99"/>
    <w:unhideWhenUsed/>
    <w:rsid w:val="00173447"/>
    <w:rPr>
      <w:color w:val="800080" w:themeColor="followedHyperlink"/>
      <w:u w:val="single"/>
    </w:rPr>
  </w:style>
  <w:style w:type="paragraph" w:styleId="aff4">
    <w:name w:val="caption"/>
    <w:basedOn w:val="a"/>
    <w:next w:val="a"/>
    <w:uiPriority w:val="35"/>
    <w:unhideWhenUsed/>
    <w:qFormat/>
    <w:rsid w:val="007D6AFD"/>
    <w:rPr>
      <w:rFonts w:asciiTheme="majorHAnsi" w:eastAsia="黑体" w:hAnsiTheme="majorHAnsi" w:cstheme="majorBidi"/>
      <w:sz w:val="20"/>
      <w:szCs w:val="20"/>
    </w:rPr>
  </w:style>
  <w:style w:type="paragraph" w:customStyle="1" w:styleId="12">
    <w:name w:val="样式1"/>
    <w:basedOn w:val="a"/>
    <w:link w:val="1Char"/>
    <w:qFormat/>
    <w:rsid w:val="007D6AFD"/>
    <w:pPr>
      <w:spacing w:beforeLines="50" w:afterLines="50" w:line="400" w:lineRule="exact"/>
      <w:ind w:firstLineChars="200" w:firstLine="480"/>
    </w:pPr>
    <w:rPr>
      <w:rFonts w:ascii="宋体" w:hAnsi="宋体"/>
      <w:sz w:val="24"/>
    </w:rPr>
  </w:style>
  <w:style w:type="character" w:customStyle="1" w:styleId="1Char">
    <w:name w:val="样式1 Char"/>
    <w:link w:val="12"/>
    <w:rsid w:val="007D6AFD"/>
    <w:rPr>
      <w:rFonts w:ascii="宋体" w:hAnsi="宋体"/>
      <w:kern w:val="2"/>
      <w:sz w:val="24"/>
      <w:szCs w:val="24"/>
    </w:rPr>
  </w:style>
  <w:style w:type="paragraph" w:customStyle="1" w:styleId="21">
    <w:name w:val="样式2"/>
    <w:basedOn w:val="12"/>
    <w:link w:val="2Char"/>
    <w:qFormat/>
    <w:rsid w:val="00157272"/>
  </w:style>
  <w:style w:type="character" w:customStyle="1" w:styleId="2Char">
    <w:name w:val="样式2 Char"/>
    <w:basedOn w:val="1Char"/>
    <w:link w:val="21"/>
    <w:rsid w:val="00157272"/>
    <w:rPr>
      <w:rFonts w:ascii="宋体" w:hAnsi="宋体"/>
      <w:kern w:val="2"/>
      <w:sz w:val="24"/>
      <w:szCs w:val="24"/>
    </w:rPr>
  </w:style>
  <w:style w:type="character" w:customStyle="1" w:styleId="50">
    <w:name w:val="标题 5字符"/>
    <w:basedOn w:val="a0"/>
    <w:link w:val="5"/>
    <w:uiPriority w:val="9"/>
    <w:rsid w:val="009F1065"/>
    <w:rPr>
      <w:b/>
      <w:bCs/>
      <w:kern w:val="2"/>
      <w:sz w:val="28"/>
      <w:szCs w:val="28"/>
    </w:rPr>
  </w:style>
  <w:style w:type="paragraph" w:styleId="aff5">
    <w:name w:val="Revision"/>
    <w:hidden/>
    <w:uiPriority w:val="99"/>
    <w:semiHidden/>
    <w:rsid w:val="009F1065"/>
    <w:rPr>
      <w:kern w:val="2"/>
      <w:sz w:val="21"/>
    </w:rPr>
  </w:style>
  <w:style w:type="paragraph" w:customStyle="1" w:styleId="31">
    <w:name w:val="样式3"/>
    <w:basedOn w:val="21"/>
    <w:link w:val="3Char"/>
    <w:qFormat/>
    <w:rsid w:val="00DF441D"/>
    <w:pPr>
      <w:spacing w:beforeLines="0" w:afterLines="0" w:line="240" w:lineRule="auto"/>
      <w:ind w:firstLine="420"/>
    </w:pPr>
    <w:rPr>
      <w:rFonts w:eastAsiaTheme="minorEastAsia" w:cs="宋体"/>
      <w:sz w:val="21"/>
      <w:szCs w:val="21"/>
    </w:rPr>
  </w:style>
  <w:style w:type="character" w:customStyle="1" w:styleId="3Char">
    <w:name w:val="样式3 Char"/>
    <w:basedOn w:val="2Char"/>
    <w:link w:val="31"/>
    <w:rsid w:val="00DF441D"/>
    <w:rPr>
      <w:rFonts w:ascii="宋体" w:eastAsiaTheme="minorEastAsia" w:hAnsi="宋体" w:cs="宋体"/>
      <w:kern w:val="2"/>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link w:val="10"/>
    <w:uiPriority w:val="9"/>
    <w:qFormat/>
    <w:rsid w:val="00DC4B7E"/>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0"/>
    <w:uiPriority w:val="9"/>
    <w:qFormat/>
    <w:rsid w:val="00AC51B8"/>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uiPriority w:val="9"/>
    <w:qFormat/>
    <w:rsid w:val="00EE7CFD"/>
    <w:pPr>
      <w:keepNext/>
      <w:keepLines/>
      <w:spacing w:before="260" w:after="260" w:line="415" w:lineRule="auto"/>
      <w:outlineLvl w:val="2"/>
    </w:pPr>
    <w:rPr>
      <w:b/>
      <w:bCs/>
      <w:sz w:val="32"/>
      <w:szCs w:val="32"/>
    </w:rPr>
  </w:style>
  <w:style w:type="paragraph" w:styleId="4">
    <w:name w:val="heading 4"/>
    <w:basedOn w:val="a"/>
    <w:next w:val="a"/>
    <w:link w:val="40"/>
    <w:uiPriority w:val="9"/>
    <w:unhideWhenUsed/>
    <w:qFormat/>
    <w:rsid w:val="00545780"/>
    <w:pPr>
      <w:keepNext/>
      <w:keepLines/>
      <w:spacing w:before="280" w:after="290" w:line="376" w:lineRule="auto"/>
      <w:outlineLvl w:val="3"/>
    </w:pPr>
    <w:rPr>
      <w:rFonts w:ascii="Cambria" w:hAnsi="Cambria"/>
      <w:b/>
      <w:bCs/>
      <w:sz w:val="28"/>
      <w:szCs w:val="28"/>
    </w:rPr>
  </w:style>
  <w:style w:type="paragraph" w:styleId="5">
    <w:name w:val="heading 5"/>
    <w:basedOn w:val="a"/>
    <w:next w:val="a"/>
    <w:link w:val="50"/>
    <w:uiPriority w:val="9"/>
    <w:unhideWhenUsed/>
    <w:qFormat/>
    <w:rsid w:val="009F106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link w:val="1"/>
    <w:uiPriority w:val="9"/>
    <w:rsid w:val="002A61CC"/>
    <w:rPr>
      <w:rFonts w:ascii="宋体" w:eastAsia="宋体" w:hAnsi="宋体" w:cs="宋体"/>
      <w:b/>
      <w:bCs/>
      <w:kern w:val="36"/>
      <w:sz w:val="48"/>
      <w:szCs w:val="48"/>
      <w:lang w:val="en-US" w:eastAsia="zh-CN" w:bidi="ar-SA"/>
    </w:rPr>
  </w:style>
  <w:style w:type="character" w:customStyle="1" w:styleId="20">
    <w:name w:val="标题 2字符"/>
    <w:link w:val="2"/>
    <w:uiPriority w:val="9"/>
    <w:rsid w:val="002A61CC"/>
    <w:rPr>
      <w:rFonts w:ascii="Arial" w:eastAsia="黑体" w:hAnsi="Arial"/>
      <w:b/>
      <w:bCs/>
      <w:kern w:val="2"/>
      <w:sz w:val="32"/>
      <w:szCs w:val="32"/>
      <w:lang w:val="en-US" w:eastAsia="zh-CN" w:bidi="ar-SA"/>
    </w:rPr>
  </w:style>
  <w:style w:type="character" w:customStyle="1" w:styleId="30">
    <w:name w:val="标题 3字符"/>
    <w:basedOn w:val="a0"/>
    <w:link w:val="3"/>
    <w:uiPriority w:val="9"/>
    <w:rsid w:val="00B62D59"/>
    <w:rPr>
      <w:b/>
      <w:bCs/>
      <w:kern w:val="2"/>
      <w:sz w:val="32"/>
      <w:szCs w:val="32"/>
    </w:rPr>
  </w:style>
  <w:style w:type="character" w:customStyle="1" w:styleId="40">
    <w:name w:val="标题 4字符"/>
    <w:link w:val="4"/>
    <w:uiPriority w:val="9"/>
    <w:rsid w:val="00545780"/>
    <w:rPr>
      <w:rFonts w:ascii="Cambria" w:eastAsia="宋体" w:hAnsi="Cambria" w:cs="Times New Roman"/>
      <w:b/>
      <w:bCs/>
      <w:kern w:val="2"/>
      <w:sz w:val="28"/>
      <w:szCs w:val="28"/>
    </w:rPr>
  </w:style>
  <w:style w:type="paragraph" w:styleId="a3">
    <w:name w:val="header"/>
    <w:basedOn w:val="a"/>
    <w:link w:val="a4"/>
    <w:uiPriority w:val="99"/>
    <w:pPr>
      <w:widowControl/>
      <w:tabs>
        <w:tab w:val="center" w:pos="4320"/>
        <w:tab w:val="right" w:pos="8640"/>
      </w:tabs>
      <w:jc w:val="left"/>
    </w:pPr>
    <w:rPr>
      <w:rFonts w:ascii="Times" w:hAnsi="Times"/>
      <w:kern w:val="0"/>
      <w:sz w:val="24"/>
      <w:szCs w:val="20"/>
      <w:lang w:eastAsia="en-US"/>
    </w:rPr>
  </w:style>
  <w:style w:type="character" w:customStyle="1" w:styleId="a4">
    <w:name w:val="页眉字符"/>
    <w:link w:val="a3"/>
    <w:uiPriority w:val="99"/>
    <w:rsid w:val="008E28AB"/>
    <w:rPr>
      <w:rFonts w:ascii="Times" w:hAnsi="Times"/>
      <w:sz w:val="24"/>
      <w:lang w:eastAsia="en-US"/>
    </w:rPr>
  </w:style>
  <w:style w:type="paragraph" w:styleId="a5">
    <w:name w:val="footer"/>
    <w:basedOn w:val="a"/>
    <w:link w:val="a6"/>
    <w:uiPriority w:val="99"/>
    <w:pPr>
      <w:widowControl/>
      <w:tabs>
        <w:tab w:val="center" w:pos="4320"/>
        <w:tab w:val="right" w:pos="8640"/>
      </w:tabs>
      <w:jc w:val="left"/>
    </w:pPr>
    <w:rPr>
      <w:rFonts w:ascii="Times" w:hAnsi="Times"/>
      <w:kern w:val="0"/>
      <w:sz w:val="24"/>
      <w:szCs w:val="20"/>
      <w:lang w:eastAsia="en-US"/>
    </w:rPr>
  </w:style>
  <w:style w:type="character" w:customStyle="1" w:styleId="a6">
    <w:name w:val="页脚字符"/>
    <w:link w:val="a5"/>
    <w:uiPriority w:val="99"/>
    <w:rsid w:val="008E28AB"/>
    <w:rPr>
      <w:rFonts w:ascii="Times" w:hAnsi="Times"/>
      <w:sz w:val="24"/>
      <w:lang w:eastAsia="en-US"/>
    </w:rPr>
  </w:style>
  <w:style w:type="paragraph" w:styleId="a7">
    <w:name w:val="Body Text"/>
    <w:basedOn w:val="a"/>
    <w:pPr>
      <w:widowControl/>
      <w:spacing w:after="180"/>
      <w:jc w:val="left"/>
    </w:pPr>
    <w:rPr>
      <w:rFonts w:ascii="Garamond" w:hAnsi="Garamond"/>
      <w:kern w:val="0"/>
      <w:sz w:val="22"/>
      <w:szCs w:val="20"/>
      <w:lang w:eastAsia="en-US"/>
    </w:rPr>
  </w:style>
  <w:style w:type="paragraph" w:styleId="a8">
    <w:name w:val="Date"/>
    <w:basedOn w:val="a7"/>
    <w:next w:val="a7"/>
    <w:link w:val="a9"/>
    <w:uiPriority w:val="99"/>
    <w:pPr>
      <w:spacing w:after="480"/>
    </w:pPr>
  </w:style>
  <w:style w:type="character" w:customStyle="1" w:styleId="a9">
    <w:name w:val="日期字符"/>
    <w:link w:val="a8"/>
    <w:uiPriority w:val="99"/>
    <w:rsid w:val="005156BF"/>
    <w:rPr>
      <w:rFonts w:ascii="Garamond" w:hAnsi="Garamond"/>
      <w:sz w:val="22"/>
      <w:lang w:eastAsia="en-US"/>
    </w:rPr>
  </w:style>
  <w:style w:type="paragraph" w:customStyle="1" w:styleId="InsideAddressName">
    <w:name w:val="Inside Address Name"/>
    <w:basedOn w:val="InsideAddress"/>
    <w:pPr>
      <w:keepNext/>
    </w:pPr>
    <w:rPr>
      <w:b/>
    </w:rPr>
  </w:style>
  <w:style w:type="paragraph" w:customStyle="1" w:styleId="InsideAddress">
    <w:name w:val="Inside Address"/>
    <w:basedOn w:val="a7"/>
    <w:pPr>
      <w:widowControl w:val="0"/>
      <w:spacing w:after="0"/>
    </w:pPr>
    <w:rPr>
      <w:rFonts w:eastAsia="Times New Roman"/>
      <w:kern w:val="28"/>
    </w:rPr>
  </w:style>
  <w:style w:type="paragraph" w:styleId="aa">
    <w:name w:val="Salutation"/>
    <w:basedOn w:val="a7"/>
    <w:next w:val="a"/>
    <w:pPr>
      <w:widowControl w:val="0"/>
      <w:spacing w:before="480" w:after="200"/>
    </w:pPr>
    <w:rPr>
      <w:rFonts w:eastAsia="Times New Roman"/>
      <w:kern w:val="28"/>
    </w:rPr>
  </w:style>
  <w:style w:type="paragraph" w:styleId="ab">
    <w:name w:val="Closing"/>
    <w:basedOn w:val="a7"/>
    <w:pPr>
      <w:widowControl w:val="0"/>
      <w:spacing w:after="200"/>
    </w:pPr>
    <w:rPr>
      <w:rFonts w:eastAsia="Times New Roman"/>
      <w:kern w:val="28"/>
    </w:rPr>
  </w:style>
  <w:style w:type="paragraph" w:customStyle="1" w:styleId="Instructions">
    <w:name w:val="Instructions"/>
    <w:basedOn w:val="a"/>
    <w:pPr>
      <w:widowControl/>
      <w:spacing w:line="220" w:lineRule="exact"/>
      <w:jc w:val="left"/>
    </w:pPr>
    <w:rPr>
      <w:rFonts w:ascii="Lucida Sans" w:eastAsia="Times New Roman" w:hAnsi="Lucida Sans"/>
      <w:color w:val="000080"/>
      <w:kern w:val="0"/>
      <w:sz w:val="18"/>
      <w:szCs w:val="20"/>
      <w:lang w:eastAsia="ja-JP"/>
    </w:rPr>
  </w:style>
  <w:style w:type="paragraph" w:customStyle="1" w:styleId="BodyTextInstructions">
    <w:name w:val="Body Text Instructions"/>
    <w:basedOn w:val="a7"/>
  </w:style>
  <w:style w:type="character" w:customStyle="1" w:styleId="BodyTextIcon">
    <w:name w:val="Body Text Icon"/>
    <w:rPr>
      <w:position w:val="-4"/>
    </w:rPr>
  </w:style>
  <w:style w:type="character" w:styleId="ac">
    <w:name w:val="Strong"/>
    <w:uiPriority w:val="22"/>
    <w:qFormat/>
    <w:rPr>
      <w:b/>
      <w:bCs/>
    </w:rPr>
  </w:style>
  <w:style w:type="paragraph" w:styleId="ad">
    <w:name w:val="Normal (Web)"/>
    <w:basedOn w:val="a"/>
    <w:uiPriority w:val="99"/>
    <w:rsid w:val="005F056F"/>
    <w:pPr>
      <w:widowControl/>
      <w:spacing w:before="100" w:beforeAutospacing="1" w:after="100" w:afterAutospacing="1"/>
      <w:jc w:val="left"/>
    </w:pPr>
    <w:rPr>
      <w:rFonts w:ascii="宋体" w:hAnsi="宋体" w:cs="宋体"/>
      <w:kern w:val="0"/>
      <w:sz w:val="24"/>
    </w:rPr>
  </w:style>
  <w:style w:type="character" w:styleId="ae">
    <w:name w:val="page number"/>
    <w:basedOn w:val="a0"/>
    <w:rsid w:val="00EC59CA"/>
  </w:style>
  <w:style w:type="paragraph" w:styleId="af">
    <w:name w:val="footnote text"/>
    <w:aliases w:val=" Char"/>
    <w:basedOn w:val="a"/>
    <w:link w:val="af0"/>
    <w:uiPriority w:val="99"/>
    <w:rsid w:val="00DA732D"/>
    <w:pPr>
      <w:snapToGrid w:val="0"/>
      <w:jc w:val="left"/>
    </w:pPr>
    <w:rPr>
      <w:sz w:val="18"/>
      <w:szCs w:val="18"/>
    </w:rPr>
  </w:style>
  <w:style w:type="character" w:customStyle="1" w:styleId="af0">
    <w:name w:val="脚注文本字符"/>
    <w:aliases w:val=" Char字符"/>
    <w:link w:val="af"/>
    <w:uiPriority w:val="99"/>
    <w:rsid w:val="008672D9"/>
    <w:rPr>
      <w:kern w:val="2"/>
      <w:sz w:val="18"/>
      <w:szCs w:val="18"/>
    </w:rPr>
  </w:style>
  <w:style w:type="character" w:styleId="af1">
    <w:name w:val="footnote reference"/>
    <w:uiPriority w:val="99"/>
    <w:rsid w:val="00DA732D"/>
    <w:rPr>
      <w:vertAlign w:val="superscript"/>
    </w:rPr>
  </w:style>
  <w:style w:type="character" w:styleId="af2">
    <w:name w:val="Hyperlink"/>
    <w:uiPriority w:val="99"/>
    <w:unhideWhenUsed/>
    <w:rsid w:val="008672D9"/>
    <w:rPr>
      <w:color w:val="0000FF"/>
      <w:u w:val="single"/>
    </w:rPr>
  </w:style>
  <w:style w:type="character" w:styleId="af3">
    <w:name w:val="annotation reference"/>
    <w:uiPriority w:val="99"/>
    <w:semiHidden/>
    <w:rsid w:val="009E237E"/>
    <w:rPr>
      <w:sz w:val="21"/>
      <w:szCs w:val="21"/>
    </w:rPr>
  </w:style>
  <w:style w:type="paragraph" w:styleId="af4">
    <w:name w:val="annotation text"/>
    <w:basedOn w:val="a"/>
    <w:link w:val="af5"/>
    <w:uiPriority w:val="99"/>
    <w:semiHidden/>
    <w:rsid w:val="009E237E"/>
    <w:pPr>
      <w:jc w:val="left"/>
    </w:pPr>
  </w:style>
  <w:style w:type="character" w:customStyle="1" w:styleId="af5">
    <w:name w:val="注释文本字符"/>
    <w:basedOn w:val="a0"/>
    <w:link w:val="af4"/>
    <w:uiPriority w:val="99"/>
    <w:semiHidden/>
    <w:rsid w:val="00BD6737"/>
    <w:rPr>
      <w:kern w:val="2"/>
      <w:sz w:val="21"/>
      <w:szCs w:val="24"/>
    </w:rPr>
  </w:style>
  <w:style w:type="paragraph" w:styleId="af6">
    <w:name w:val="Balloon Text"/>
    <w:basedOn w:val="a"/>
    <w:link w:val="af7"/>
    <w:uiPriority w:val="99"/>
    <w:semiHidden/>
    <w:rsid w:val="009E237E"/>
    <w:rPr>
      <w:sz w:val="18"/>
      <w:szCs w:val="18"/>
    </w:rPr>
  </w:style>
  <w:style w:type="character" w:customStyle="1" w:styleId="af7">
    <w:name w:val="批注框文本字符"/>
    <w:link w:val="af6"/>
    <w:uiPriority w:val="99"/>
    <w:semiHidden/>
    <w:rsid w:val="00534563"/>
    <w:rPr>
      <w:kern w:val="2"/>
      <w:sz w:val="18"/>
      <w:szCs w:val="18"/>
    </w:rPr>
  </w:style>
  <w:style w:type="table" w:styleId="af8">
    <w:name w:val="Table Grid"/>
    <w:basedOn w:val="a1"/>
    <w:uiPriority w:val="59"/>
    <w:rsid w:val="001E394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8B25FB"/>
    <w:pPr>
      <w:ind w:firstLineChars="200" w:firstLine="420"/>
    </w:pPr>
    <w:rPr>
      <w:rFonts w:ascii="Calibri" w:hAnsi="Calibri"/>
      <w:szCs w:val="20"/>
    </w:rPr>
  </w:style>
  <w:style w:type="character" w:customStyle="1" w:styleId="CharCharChar">
    <w:name w:val="Char Char Char"/>
    <w:semiHidden/>
    <w:rsid w:val="001B1D4D"/>
    <w:rPr>
      <w:sz w:val="18"/>
      <w:szCs w:val="18"/>
    </w:rPr>
  </w:style>
  <w:style w:type="character" w:customStyle="1" w:styleId="CharChar5">
    <w:name w:val="Char Char5"/>
    <w:rsid w:val="001B1D4D"/>
    <w:rPr>
      <w:b/>
      <w:bCs/>
      <w:kern w:val="44"/>
      <w:sz w:val="44"/>
      <w:szCs w:val="44"/>
    </w:rPr>
  </w:style>
  <w:style w:type="paragraph" w:styleId="afa">
    <w:name w:val="endnote text"/>
    <w:basedOn w:val="a"/>
    <w:link w:val="afb"/>
    <w:uiPriority w:val="99"/>
    <w:unhideWhenUsed/>
    <w:rsid w:val="00D53C46"/>
    <w:pPr>
      <w:snapToGrid w:val="0"/>
      <w:jc w:val="left"/>
    </w:pPr>
    <w:rPr>
      <w:rFonts w:ascii="Calibri" w:hAnsi="Calibri"/>
      <w:szCs w:val="22"/>
    </w:rPr>
  </w:style>
  <w:style w:type="character" w:customStyle="1" w:styleId="afb">
    <w:name w:val="尾注文本字符"/>
    <w:link w:val="afa"/>
    <w:uiPriority w:val="99"/>
    <w:rsid w:val="00D53C46"/>
    <w:rPr>
      <w:rFonts w:ascii="Calibri" w:hAnsi="Calibri"/>
      <w:kern w:val="2"/>
      <w:sz w:val="21"/>
      <w:szCs w:val="22"/>
    </w:rPr>
  </w:style>
  <w:style w:type="character" w:styleId="afc">
    <w:name w:val="endnote reference"/>
    <w:uiPriority w:val="99"/>
    <w:unhideWhenUsed/>
    <w:rsid w:val="00D53C46"/>
    <w:rPr>
      <w:vertAlign w:val="superscript"/>
    </w:rPr>
  </w:style>
  <w:style w:type="paragraph" w:customStyle="1" w:styleId="Default">
    <w:name w:val="Default"/>
    <w:rsid w:val="000D74E0"/>
    <w:pPr>
      <w:widowControl w:val="0"/>
      <w:autoSpaceDE w:val="0"/>
      <w:autoSpaceDN w:val="0"/>
      <w:adjustRightInd w:val="0"/>
    </w:pPr>
    <w:rPr>
      <w:rFonts w:ascii="仿宋_GB2312" w:eastAsia="仿宋_GB2312" w:hAnsi="Calibri" w:cs="仿宋_GB2312"/>
      <w:color w:val="000000"/>
      <w:sz w:val="24"/>
      <w:szCs w:val="24"/>
    </w:rPr>
  </w:style>
  <w:style w:type="character" w:customStyle="1" w:styleId="apple-style-span">
    <w:name w:val="apple-style-span"/>
    <w:basedOn w:val="a0"/>
    <w:rsid w:val="008E28AB"/>
  </w:style>
  <w:style w:type="character" w:styleId="afd">
    <w:name w:val="Emphasis"/>
    <w:uiPriority w:val="20"/>
    <w:qFormat/>
    <w:rsid w:val="0011331C"/>
    <w:rPr>
      <w:b/>
      <w:bCs/>
      <w:i w:val="0"/>
      <w:iCs w:val="0"/>
    </w:rPr>
  </w:style>
  <w:style w:type="table" w:customStyle="1" w:styleId="11">
    <w:name w:val="浅色底纹1"/>
    <w:basedOn w:val="a1"/>
    <w:uiPriority w:val="60"/>
    <w:rsid w:val="00594F16"/>
    <w:rPr>
      <w:rFonts w:ascii="Calibri" w:hAnsi="Calibri"/>
      <w:color w:val="000000"/>
      <w:kern w:val="2"/>
      <w:sz w:val="21"/>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pple-converted-space">
    <w:name w:val="apple-converted-space"/>
    <w:basedOn w:val="a0"/>
    <w:rsid w:val="00BD6737"/>
  </w:style>
  <w:style w:type="paragraph" w:styleId="afe">
    <w:name w:val="annotation subject"/>
    <w:basedOn w:val="af4"/>
    <w:next w:val="af4"/>
    <w:link w:val="aff"/>
    <w:uiPriority w:val="99"/>
    <w:unhideWhenUsed/>
    <w:rsid w:val="00BD6737"/>
    <w:pPr>
      <w:jc w:val="both"/>
    </w:pPr>
    <w:rPr>
      <w:rFonts w:ascii="Calibri" w:hAnsi="Calibri"/>
      <w:b/>
      <w:bCs/>
      <w:sz w:val="20"/>
      <w:szCs w:val="20"/>
    </w:rPr>
  </w:style>
  <w:style w:type="character" w:customStyle="1" w:styleId="aff">
    <w:name w:val="批注主题字符"/>
    <w:basedOn w:val="af5"/>
    <w:link w:val="afe"/>
    <w:uiPriority w:val="99"/>
    <w:rsid w:val="00BD6737"/>
    <w:rPr>
      <w:rFonts w:ascii="Calibri" w:hAnsi="Calibri"/>
      <w:b/>
      <w:bCs/>
      <w:kern w:val="2"/>
      <w:sz w:val="21"/>
      <w:szCs w:val="24"/>
    </w:rPr>
  </w:style>
  <w:style w:type="paragraph" w:styleId="aff0">
    <w:name w:val="Document Map"/>
    <w:basedOn w:val="a"/>
    <w:link w:val="aff1"/>
    <w:uiPriority w:val="99"/>
    <w:unhideWhenUsed/>
    <w:rsid w:val="00BD6737"/>
    <w:rPr>
      <w:rFonts w:ascii="Tahoma" w:hAnsi="Tahoma" w:cs="Tahoma"/>
      <w:sz w:val="16"/>
      <w:szCs w:val="16"/>
    </w:rPr>
  </w:style>
  <w:style w:type="character" w:customStyle="1" w:styleId="aff1">
    <w:name w:val="文档结构图 字符"/>
    <w:basedOn w:val="a0"/>
    <w:link w:val="aff0"/>
    <w:uiPriority w:val="99"/>
    <w:rsid w:val="00BD6737"/>
    <w:rPr>
      <w:rFonts w:ascii="Tahoma" w:hAnsi="Tahoma" w:cs="Tahoma"/>
      <w:kern w:val="2"/>
      <w:sz w:val="16"/>
      <w:szCs w:val="16"/>
    </w:rPr>
  </w:style>
  <w:style w:type="paragraph" w:styleId="aff2">
    <w:name w:val="Title"/>
    <w:basedOn w:val="a"/>
    <w:next w:val="a"/>
    <w:link w:val="aff3"/>
    <w:qFormat/>
    <w:rsid w:val="00920D84"/>
    <w:pPr>
      <w:spacing w:before="240" w:after="60"/>
      <w:jc w:val="center"/>
      <w:outlineLvl w:val="0"/>
    </w:pPr>
    <w:rPr>
      <w:rFonts w:asciiTheme="majorHAnsi" w:hAnsiTheme="majorHAnsi" w:cstheme="majorBidi"/>
      <w:b/>
      <w:bCs/>
      <w:sz w:val="32"/>
      <w:szCs w:val="32"/>
    </w:rPr>
  </w:style>
  <w:style w:type="character" w:customStyle="1" w:styleId="aff3">
    <w:name w:val="标题字符"/>
    <w:basedOn w:val="a0"/>
    <w:link w:val="aff2"/>
    <w:rsid w:val="00920D84"/>
    <w:rPr>
      <w:rFonts w:asciiTheme="majorHAnsi" w:hAnsiTheme="majorHAnsi" w:cstheme="majorBidi"/>
      <w:b/>
      <w:bCs/>
      <w:kern w:val="2"/>
      <w:sz w:val="32"/>
      <w:szCs w:val="32"/>
    </w:rPr>
  </w:style>
  <w:style w:type="character" w:styleId="FollowedHyperlink">
    <w:name w:val="FollowedHyperlink"/>
    <w:basedOn w:val="a0"/>
    <w:uiPriority w:val="99"/>
    <w:unhideWhenUsed/>
    <w:rsid w:val="00173447"/>
    <w:rPr>
      <w:color w:val="800080" w:themeColor="followedHyperlink"/>
      <w:u w:val="single"/>
    </w:rPr>
  </w:style>
  <w:style w:type="paragraph" w:styleId="aff4">
    <w:name w:val="caption"/>
    <w:basedOn w:val="a"/>
    <w:next w:val="a"/>
    <w:uiPriority w:val="35"/>
    <w:unhideWhenUsed/>
    <w:qFormat/>
    <w:rsid w:val="007D6AFD"/>
    <w:rPr>
      <w:rFonts w:asciiTheme="majorHAnsi" w:eastAsia="黑体" w:hAnsiTheme="majorHAnsi" w:cstheme="majorBidi"/>
      <w:sz w:val="20"/>
      <w:szCs w:val="20"/>
    </w:rPr>
  </w:style>
  <w:style w:type="paragraph" w:customStyle="1" w:styleId="12">
    <w:name w:val="样式1"/>
    <w:basedOn w:val="a"/>
    <w:link w:val="1Char"/>
    <w:qFormat/>
    <w:rsid w:val="007D6AFD"/>
    <w:pPr>
      <w:spacing w:beforeLines="50" w:afterLines="50" w:line="400" w:lineRule="exact"/>
      <w:ind w:firstLineChars="200" w:firstLine="480"/>
    </w:pPr>
    <w:rPr>
      <w:rFonts w:ascii="宋体" w:hAnsi="宋体"/>
      <w:sz w:val="24"/>
    </w:rPr>
  </w:style>
  <w:style w:type="character" w:customStyle="1" w:styleId="1Char">
    <w:name w:val="样式1 Char"/>
    <w:link w:val="12"/>
    <w:rsid w:val="007D6AFD"/>
    <w:rPr>
      <w:rFonts w:ascii="宋体" w:hAnsi="宋体"/>
      <w:kern w:val="2"/>
      <w:sz w:val="24"/>
      <w:szCs w:val="24"/>
    </w:rPr>
  </w:style>
  <w:style w:type="paragraph" w:customStyle="1" w:styleId="21">
    <w:name w:val="样式2"/>
    <w:basedOn w:val="12"/>
    <w:link w:val="2Char"/>
    <w:qFormat/>
    <w:rsid w:val="00157272"/>
  </w:style>
  <w:style w:type="character" w:customStyle="1" w:styleId="2Char">
    <w:name w:val="样式2 Char"/>
    <w:basedOn w:val="1Char"/>
    <w:link w:val="21"/>
    <w:rsid w:val="00157272"/>
    <w:rPr>
      <w:rFonts w:ascii="宋体" w:hAnsi="宋体"/>
      <w:kern w:val="2"/>
      <w:sz w:val="24"/>
      <w:szCs w:val="24"/>
    </w:rPr>
  </w:style>
  <w:style w:type="character" w:customStyle="1" w:styleId="50">
    <w:name w:val="标题 5字符"/>
    <w:basedOn w:val="a0"/>
    <w:link w:val="5"/>
    <w:uiPriority w:val="9"/>
    <w:rsid w:val="009F1065"/>
    <w:rPr>
      <w:b/>
      <w:bCs/>
      <w:kern w:val="2"/>
      <w:sz w:val="28"/>
      <w:szCs w:val="28"/>
    </w:rPr>
  </w:style>
  <w:style w:type="paragraph" w:styleId="aff5">
    <w:name w:val="Revision"/>
    <w:hidden/>
    <w:uiPriority w:val="99"/>
    <w:semiHidden/>
    <w:rsid w:val="009F1065"/>
    <w:rPr>
      <w:kern w:val="2"/>
      <w:sz w:val="21"/>
    </w:rPr>
  </w:style>
  <w:style w:type="paragraph" w:customStyle="1" w:styleId="31">
    <w:name w:val="样式3"/>
    <w:basedOn w:val="21"/>
    <w:link w:val="3Char"/>
    <w:qFormat/>
    <w:rsid w:val="00DF441D"/>
    <w:pPr>
      <w:spacing w:beforeLines="0" w:afterLines="0" w:line="240" w:lineRule="auto"/>
      <w:ind w:firstLine="420"/>
    </w:pPr>
    <w:rPr>
      <w:rFonts w:eastAsiaTheme="minorEastAsia" w:cs="宋体"/>
      <w:sz w:val="21"/>
      <w:szCs w:val="21"/>
    </w:rPr>
  </w:style>
  <w:style w:type="character" w:customStyle="1" w:styleId="3Char">
    <w:name w:val="样式3 Char"/>
    <w:basedOn w:val="2Char"/>
    <w:link w:val="31"/>
    <w:rsid w:val="00DF441D"/>
    <w:rPr>
      <w:rFonts w:ascii="宋体" w:eastAsiaTheme="minorEastAsia" w:hAnsi="宋体" w:cs="宋体"/>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23720">
      <w:bodyDiv w:val="1"/>
      <w:marLeft w:val="0"/>
      <w:marRight w:val="0"/>
      <w:marTop w:val="0"/>
      <w:marBottom w:val="0"/>
      <w:divBdr>
        <w:top w:val="none" w:sz="0" w:space="0" w:color="auto"/>
        <w:left w:val="none" w:sz="0" w:space="0" w:color="auto"/>
        <w:bottom w:val="none" w:sz="0" w:space="0" w:color="auto"/>
        <w:right w:val="none" w:sz="0" w:space="0" w:color="auto"/>
      </w:divBdr>
    </w:div>
    <w:div w:id="74672081">
      <w:bodyDiv w:val="1"/>
      <w:marLeft w:val="0"/>
      <w:marRight w:val="0"/>
      <w:marTop w:val="0"/>
      <w:marBottom w:val="0"/>
      <w:divBdr>
        <w:top w:val="none" w:sz="0" w:space="0" w:color="auto"/>
        <w:left w:val="none" w:sz="0" w:space="0" w:color="auto"/>
        <w:bottom w:val="none" w:sz="0" w:space="0" w:color="auto"/>
        <w:right w:val="none" w:sz="0" w:space="0" w:color="auto"/>
      </w:divBdr>
    </w:div>
    <w:div w:id="114639489">
      <w:bodyDiv w:val="1"/>
      <w:marLeft w:val="0"/>
      <w:marRight w:val="0"/>
      <w:marTop w:val="0"/>
      <w:marBottom w:val="0"/>
      <w:divBdr>
        <w:top w:val="none" w:sz="0" w:space="0" w:color="auto"/>
        <w:left w:val="none" w:sz="0" w:space="0" w:color="auto"/>
        <w:bottom w:val="none" w:sz="0" w:space="0" w:color="auto"/>
        <w:right w:val="none" w:sz="0" w:space="0" w:color="auto"/>
      </w:divBdr>
    </w:div>
    <w:div w:id="121536073">
      <w:bodyDiv w:val="1"/>
      <w:marLeft w:val="0"/>
      <w:marRight w:val="0"/>
      <w:marTop w:val="0"/>
      <w:marBottom w:val="0"/>
      <w:divBdr>
        <w:top w:val="none" w:sz="0" w:space="0" w:color="auto"/>
        <w:left w:val="none" w:sz="0" w:space="0" w:color="auto"/>
        <w:bottom w:val="none" w:sz="0" w:space="0" w:color="auto"/>
        <w:right w:val="none" w:sz="0" w:space="0" w:color="auto"/>
      </w:divBdr>
    </w:div>
    <w:div w:id="123545273">
      <w:bodyDiv w:val="1"/>
      <w:marLeft w:val="0"/>
      <w:marRight w:val="0"/>
      <w:marTop w:val="0"/>
      <w:marBottom w:val="0"/>
      <w:divBdr>
        <w:top w:val="none" w:sz="0" w:space="0" w:color="auto"/>
        <w:left w:val="none" w:sz="0" w:space="0" w:color="auto"/>
        <w:bottom w:val="none" w:sz="0" w:space="0" w:color="auto"/>
        <w:right w:val="none" w:sz="0" w:space="0" w:color="auto"/>
      </w:divBdr>
    </w:div>
    <w:div w:id="131795037">
      <w:bodyDiv w:val="1"/>
      <w:marLeft w:val="0"/>
      <w:marRight w:val="0"/>
      <w:marTop w:val="0"/>
      <w:marBottom w:val="0"/>
      <w:divBdr>
        <w:top w:val="none" w:sz="0" w:space="0" w:color="auto"/>
        <w:left w:val="none" w:sz="0" w:space="0" w:color="auto"/>
        <w:bottom w:val="none" w:sz="0" w:space="0" w:color="auto"/>
        <w:right w:val="none" w:sz="0" w:space="0" w:color="auto"/>
      </w:divBdr>
    </w:div>
    <w:div w:id="203097946">
      <w:bodyDiv w:val="1"/>
      <w:marLeft w:val="0"/>
      <w:marRight w:val="0"/>
      <w:marTop w:val="0"/>
      <w:marBottom w:val="0"/>
      <w:divBdr>
        <w:top w:val="none" w:sz="0" w:space="0" w:color="auto"/>
        <w:left w:val="none" w:sz="0" w:space="0" w:color="auto"/>
        <w:bottom w:val="none" w:sz="0" w:space="0" w:color="auto"/>
        <w:right w:val="none" w:sz="0" w:space="0" w:color="auto"/>
      </w:divBdr>
    </w:div>
    <w:div w:id="243607648">
      <w:bodyDiv w:val="1"/>
      <w:marLeft w:val="0"/>
      <w:marRight w:val="0"/>
      <w:marTop w:val="0"/>
      <w:marBottom w:val="0"/>
      <w:divBdr>
        <w:top w:val="none" w:sz="0" w:space="0" w:color="auto"/>
        <w:left w:val="none" w:sz="0" w:space="0" w:color="auto"/>
        <w:bottom w:val="none" w:sz="0" w:space="0" w:color="auto"/>
        <w:right w:val="none" w:sz="0" w:space="0" w:color="auto"/>
      </w:divBdr>
    </w:div>
    <w:div w:id="280456546">
      <w:bodyDiv w:val="1"/>
      <w:marLeft w:val="0"/>
      <w:marRight w:val="0"/>
      <w:marTop w:val="0"/>
      <w:marBottom w:val="0"/>
      <w:divBdr>
        <w:top w:val="none" w:sz="0" w:space="0" w:color="auto"/>
        <w:left w:val="none" w:sz="0" w:space="0" w:color="auto"/>
        <w:bottom w:val="none" w:sz="0" w:space="0" w:color="auto"/>
        <w:right w:val="none" w:sz="0" w:space="0" w:color="auto"/>
      </w:divBdr>
      <w:divsChild>
        <w:div w:id="1688365898">
          <w:marLeft w:val="120"/>
          <w:marRight w:val="120"/>
          <w:marTop w:val="120"/>
          <w:marBottom w:val="120"/>
          <w:divBdr>
            <w:top w:val="none" w:sz="0" w:space="0" w:color="auto"/>
            <w:left w:val="none" w:sz="0" w:space="0" w:color="auto"/>
            <w:bottom w:val="none" w:sz="0" w:space="0" w:color="auto"/>
            <w:right w:val="none" w:sz="0" w:space="0" w:color="auto"/>
          </w:divBdr>
          <w:divsChild>
            <w:div w:id="772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496976">
      <w:bodyDiv w:val="1"/>
      <w:marLeft w:val="0"/>
      <w:marRight w:val="0"/>
      <w:marTop w:val="0"/>
      <w:marBottom w:val="0"/>
      <w:divBdr>
        <w:top w:val="none" w:sz="0" w:space="0" w:color="auto"/>
        <w:left w:val="none" w:sz="0" w:space="0" w:color="auto"/>
        <w:bottom w:val="none" w:sz="0" w:space="0" w:color="auto"/>
        <w:right w:val="none" w:sz="0" w:space="0" w:color="auto"/>
      </w:divBdr>
    </w:div>
    <w:div w:id="301547606">
      <w:bodyDiv w:val="1"/>
      <w:marLeft w:val="0"/>
      <w:marRight w:val="0"/>
      <w:marTop w:val="0"/>
      <w:marBottom w:val="0"/>
      <w:divBdr>
        <w:top w:val="none" w:sz="0" w:space="0" w:color="auto"/>
        <w:left w:val="none" w:sz="0" w:space="0" w:color="auto"/>
        <w:bottom w:val="none" w:sz="0" w:space="0" w:color="auto"/>
        <w:right w:val="none" w:sz="0" w:space="0" w:color="auto"/>
      </w:divBdr>
    </w:div>
    <w:div w:id="312023671">
      <w:bodyDiv w:val="1"/>
      <w:marLeft w:val="0"/>
      <w:marRight w:val="0"/>
      <w:marTop w:val="0"/>
      <w:marBottom w:val="0"/>
      <w:divBdr>
        <w:top w:val="none" w:sz="0" w:space="0" w:color="auto"/>
        <w:left w:val="none" w:sz="0" w:space="0" w:color="auto"/>
        <w:bottom w:val="none" w:sz="0" w:space="0" w:color="auto"/>
        <w:right w:val="none" w:sz="0" w:space="0" w:color="auto"/>
      </w:divBdr>
    </w:div>
    <w:div w:id="329992517">
      <w:bodyDiv w:val="1"/>
      <w:marLeft w:val="0"/>
      <w:marRight w:val="0"/>
      <w:marTop w:val="0"/>
      <w:marBottom w:val="0"/>
      <w:divBdr>
        <w:top w:val="none" w:sz="0" w:space="0" w:color="auto"/>
        <w:left w:val="none" w:sz="0" w:space="0" w:color="auto"/>
        <w:bottom w:val="none" w:sz="0" w:space="0" w:color="auto"/>
        <w:right w:val="none" w:sz="0" w:space="0" w:color="auto"/>
      </w:divBdr>
    </w:div>
    <w:div w:id="330763807">
      <w:bodyDiv w:val="1"/>
      <w:marLeft w:val="0"/>
      <w:marRight w:val="0"/>
      <w:marTop w:val="0"/>
      <w:marBottom w:val="0"/>
      <w:divBdr>
        <w:top w:val="none" w:sz="0" w:space="0" w:color="auto"/>
        <w:left w:val="none" w:sz="0" w:space="0" w:color="auto"/>
        <w:bottom w:val="none" w:sz="0" w:space="0" w:color="auto"/>
        <w:right w:val="none" w:sz="0" w:space="0" w:color="auto"/>
      </w:divBdr>
    </w:div>
    <w:div w:id="342247306">
      <w:bodyDiv w:val="1"/>
      <w:marLeft w:val="0"/>
      <w:marRight w:val="0"/>
      <w:marTop w:val="0"/>
      <w:marBottom w:val="0"/>
      <w:divBdr>
        <w:top w:val="none" w:sz="0" w:space="0" w:color="auto"/>
        <w:left w:val="none" w:sz="0" w:space="0" w:color="auto"/>
        <w:bottom w:val="none" w:sz="0" w:space="0" w:color="auto"/>
        <w:right w:val="none" w:sz="0" w:space="0" w:color="auto"/>
      </w:divBdr>
      <w:divsChild>
        <w:div w:id="80875815">
          <w:marLeft w:val="120"/>
          <w:marRight w:val="120"/>
          <w:marTop w:val="120"/>
          <w:marBottom w:val="120"/>
          <w:divBdr>
            <w:top w:val="none" w:sz="0" w:space="0" w:color="auto"/>
            <w:left w:val="none" w:sz="0" w:space="0" w:color="auto"/>
            <w:bottom w:val="none" w:sz="0" w:space="0" w:color="auto"/>
            <w:right w:val="none" w:sz="0" w:space="0" w:color="auto"/>
          </w:divBdr>
          <w:divsChild>
            <w:div w:id="198700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62743">
      <w:bodyDiv w:val="1"/>
      <w:marLeft w:val="0"/>
      <w:marRight w:val="0"/>
      <w:marTop w:val="0"/>
      <w:marBottom w:val="0"/>
      <w:divBdr>
        <w:top w:val="none" w:sz="0" w:space="0" w:color="auto"/>
        <w:left w:val="none" w:sz="0" w:space="0" w:color="auto"/>
        <w:bottom w:val="none" w:sz="0" w:space="0" w:color="auto"/>
        <w:right w:val="none" w:sz="0" w:space="0" w:color="auto"/>
      </w:divBdr>
      <w:divsChild>
        <w:div w:id="1855000371">
          <w:marLeft w:val="0"/>
          <w:marRight w:val="0"/>
          <w:marTop w:val="0"/>
          <w:marBottom w:val="0"/>
          <w:divBdr>
            <w:top w:val="none" w:sz="0" w:space="0" w:color="auto"/>
            <w:left w:val="none" w:sz="0" w:space="0" w:color="auto"/>
            <w:bottom w:val="none" w:sz="0" w:space="0" w:color="auto"/>
            <w:right w:val="none" w:sz="0" w:space="0" w:color="auto"/>
          </w:divBdr>
          <w:divsChild>
            <w:div w:id="1173108112">
              <w:marLeft w:val="0"/>
              <w:marRight w:val="0"/>
              <w:marTop w:val="0"/>
              <w:marBottom w:val="0"/>
              <w:divBdr>
                <w:top w:val="none" w:sz="0" w:space="0" w:color="auto"/>
                <w:left w:val="none" w:sz="0" w:space="0" w:color="auto"/>
                <w:bottom w:val="none" w:sz="0" w:space="0" w:color="auto"/>
                <w:right w:val="none" w:sz="0" w:space="0" w:color="auto"/>
              </w:divBdr>
              <w:divsChild>
                <w:div w:id="133103851">
                  <w:marLeft w:val="0"/>
                  <w:marRight w:val="0"/>
                  <w:marTop w:val="0"/>
                  <w:marBottom w:val="0"/>
                  <w:divBdr>
                    <w:top w:val="none" w:sz="0" w:space="0" w:color="auto"/>
                    <w:left w:val="single" w:sz="6" w:space="0" w:color="CCCCCC"/>
                    <w:bottom w:val="single" w:sz="6" w:space="0" w:color="CCCCCC"/>
                    <w:right w:val="single" w:sz="6" w:space="0" w:color="CCCCCC"/>
                  </w:divBdr>
                  <w:divsChild>
                    <w:div w:id="1417168130">
                      <w:marLeft w:val="0"/>
                      <w:marRight w:val="0"/>
                      <w:marTop w:val="0"/>
                      <w:marBottom w:val="0"/>
                      <w:divBdr>
                        <w:top w:val="none" w:sz="0" w:space="0" w:color="auto"/>
                        <w:left w:val="single" w:sz="6" w:space="0" w:color="CCCCCC"/>
                        <w:bottom w:val="single" w:sz="6" w:space="0" w:color="CCCCCC"/>
                        <w:right w:val="single" w:sz="6" w:space="0" w:color="CCCCCC"/>
                      </w:divBdr>
                      <w:divsChild>
                        <w:div w:id="60451666">
                          <w:marLeft w:val="0"/>
                          <w:marRight w:val="0"/>
                          <w:marTop w:val="0"/>
                          <w:marBottom w:val="0"/>
                          <w:divBdr>
                            <w:top w:val="none" w:sz="0" w:space="0" w:color="auto"/>
                            <w:left w:val="single" w:sz="6" w:space="0" w:color="CCCCCC"/>
                            <w:bottom w:val="single" w:sz="6" w:space="0" w:color="CCCCCC"/>
                            <w:right w:val="single" w:sz="6" w:space="0" w:color="CCCCCC"/>
                          </w:divBdr>
                          <w:divsChild>
                            <w:div w:id="248463968">
                              <w:marLeft w:val="0"/>
                              <w:marRight w:val="0"/>
                              <w:marTop w:val="0"/>
                              <w:marBottom w:val="0"/>
                              <w:divBdr>
                                <w:top w:val="none" w:sz="0" w:space="0" w:color="auto"/>
                                <w:left w:val="single" w:sz="6" w:space="0" w:color="CCCCCC"/>
                                <w:bottom w:val="single" w:sz="6" w:space="0" w:color="CCCCCC"/>
                                <w:right w:val="single" w:sz="6" w:space="0" w:color="CCCCCC"/>
                              </w:divBdr>
                              <w:divsChild>
                                <w:div w:id="902645799">
                                  <w:marLeft w:val="0"/>
                                  <w:marRight w:val="0"/>
                                  <w:marTop w:val="0"/>
                                  <w:marBottom w:val="75"/>
                                  <w:divBdr>
                                    <w:top w:val="none" w:sz="0" w:space="0" w:color="auto"/>
                                    <w:left w:val="none" w:sz="0" w:space="0" w:color="auto"/>
                                    <w:bottom w:val="none" w:sz="0" w:space="0" w:color="auto"/>
                                    <w:right w:val="none" w:sz="0" w:space="0" w:color="auto"/>
                                  </w:divBdr>
                                  <w:divsChild>
                                    <w:div w:id="1081220833">
                                      <w:marLeft w:val="0"/>
                                      <w:marRight w:val="0"/>
                                      <w:marTop w:val="0"/>
                                      <w:marBottom w:val="0"/>
                                      <w:divBdr>
                                        <w:top w:val="none" w:sz="0" w:space="0" w:color="auto"/>
                                        <w:left w:val="single" w:sz="6" w:space="0" w:color="CCCCCC"/>
                                        <w:bottom w:val="single" w:sz="6" w:space="0" w:color="CCCCCC"/>
                                        <w:right w:val="single" w:sz="6" w:space="0" w:color="CCCCCC"/>
                                      </w:divBdr>
                                      <w:divsChild>
                                        <w:div w:id="1456095325">
                                          <w:marLeft w:val="0"/>
                                          <w:marRight w:val="0"/>
                                          <w:marTop w:val="0"/>
                                          <w:marBottom w:val="75"/>
                                          <w:divBdr>
                                            <w:top w:val="none" w:sz="0" w:space="0" w:color="auto"/>
                                            <w:left w:val="none" w:sz="0" w:space="0" w:color="auto"/>
                                            <w:bottom w:val="none" w:sz="0" w:space="0" w:color="auto"/>
                                            <w:right w:val="none" w:sz="0" w:space="0" w:color="auto"/>
                                          </w:divBdr>
                                          <w:divsChild>
                                            <w:div w:id="504706527">
                                              <w:marLeft w:val="0"/>
                                              <w:marRight w:val="0"/>
                                              <w:marTop w:val="0"/>
                                              <w:marBottom w:val="75"/>
                                              <w:divBdr>
                                                <w:top w:val="none" w:sz="0" w:space="0" w:color="auto"/>
                                                <w:left w:val="none" w:sz="0" w:space="0" w:color="auto"/>
                                                <w:bottom w:val="none" w:sz="0" w:space="0" w:color="auto"/>
                                                <w:right w:val="none" w:sz="0" w:space="0" w:color="auto"/>
                                              </w:divBdr>
                                              <w:divsChild>
                                                <w:div w:id="173160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0177381">
      <w:bodyDiv w:val="1"/>
      <w:marLeft w:val="0"/>
      <w:marRight w:val="0"/>
      <w:marTop w:val="0"/>
      <w:marBottom w:val="0"/>
      <w:divBdr>
        <w:top w:val="none" w:sz="0" w:space="0" w:color="auto"/>
        <w:left w:val="none" w:sz="0" w:space="0" w:color="auto"/>
        <w:bottom w:val="none" w:sz="0" w:space="0" w:color="auto"/>
        <w:right w:val="none" w:sz="0" w:space="0" w:color="auto"/>
      </w:divBdr>
    </w:div>
    <w:div w:id="416905359">
      <w:bodyDiv w:val="1"/>
      <w:marLeft w:val="0"/>
      <w:marRight w:val="0"/>
      <w:marTop w:val="0"/>
      <w:marBottom w:val="0"/>
      <w:divBdr>
        <w:top w:val="none" w:sz="0" w:space="0" w:color="auto"/>
        <w:left w:val="none" w:sz="0" w:space="0" w:color="auto"/>
        <w:bottom w:val="none" w:sz="0" w:space="0" w:color="auto"/>
        <w:right w:val="none" w:sz="0" w:space="0" w:color="auto"/>
      </w:divBdr>
    </w:div>
    <w:div w:id="423428640">
      <w:bodyDiv w:val="1"/>
      <w:marLeft w:val="0"/>
      <w:marRight w:val="0"/>
      <w:marTop w:val="0"/>
      <w:marBottom w:val="0"/>
      <w:divBdr>
        <w:top w:val="none" w:sz="0" w:space="0" w:color="auto"/>
        <w:left w:val="none" w:sz="0" w:space="0" w:color="auto"/>
        <w:bottom w:val="none" w:sz="0" w:space="0" w:color="auto"/>
        <w:right w:val="none" w:sz="0" w:space="0" w:color="auto"/>
      </w:divBdr>
    </w:div>
    <w:div w:id="442728113">
      <w:bodyDiv w:val="1"/>
      <w:marLeft w:val="0"/>
      <w:marRight w:val="0"/>
      <w:marTop w:val="0"/>
      <w:marBottom w:val="0"/>
      <w:divBdr>
        <w:top w:val="none" w:sz="0" w:space="0" w:color="auto"/>
        <w:left w:val="none" w:sz="0" w:space="0" w:color="auto"/>
        <w:bottom w:val="none" w:sz="0" w:space="0" w:color="auto"/>
        <w:right w:val="none" w:sz="0" w:space="0" w:color="auto"/>
      </w:divBdr>
    </w:div>
    <w:div w:id="523523496">
      <w:bodyDiv w:val="1"/>
      <w:marLeft w:val="0"/>
      <w:marRight w:val="0"/>
      <w:marTop w:val="0"/>
      <w:marBottom w:val="0"/>
      <w:divBdr>
        <w:top w:val="none" w:sz="0" w:space="0" w:color="auto"/>
        <w:left w:val="none" w:sz="0" w:space="0" w:color="auto"/>
        <w:bottom w:val="none" w:sz="0" w:space="0" w:color="auto"/>
        <w:right w:val="none" w:sz="0" w:space="0" w:color="auto"/>
      </w:divBdr>
    </w:div>
    <w:div w:id="526336731">
      <w:bodyDiv w:val="1"/>
      <w:marLeft w:val="0"/>
      <w:marRight w:val="0"/>
      <w:marTop w:val="0"/>
      <w:marBottom w:val="0"/>
      <w:divBdr>
        <w:top w:val="none" w:sz="0" w:space="0" w:color="auto"/>
        <w:left w:val="none" w:sz="0" w:space="0" w:color="auto"/>
        <w:bottom w:val="none" w:sz="0" w:space="0" w:color="auto"/>
        <w:right w:val="none" w:sz="0" w:space="0" w:color="auto"/>
      </w:divBdr>
    </w:div>
    <w:div w:id="583345028">
      <w:bodyDiv w:val="1"/>
      <w:marLeft w:val="0"/>
      <w:marRight w:val="0"/>
      <w:marTop w:val="0"/>
      <w:marBottom w:val="0"/>
      <w:divBdr>
        <w:top w:val="none" w:sz="0" w:space="0" w:color="auto"/>
        <w:left w:val="none" w:sz="0" w:space="0" w:color="auto"/>
        <w:bottom w:val="none" w:sz="0" w:space="0" w:color="auto"/>
        <w:right w:val="none" w:sz="0" w:space="0" w:color="auto"/>
      </w:divBdr>
    </w:div>
    <w:div w:id="626667816">
      <w:bodyDiv w:val="1"/>
      <w:marLeft w:val="0"/>
      <w:marRight w:val="0"/>
      <w:marTop w:val="0"/>
      <w:marBottom w:val="0"/>
      <w:divBdr>
        <w:top w:val="none" w:sz="0" w:space="0" w:color="auto"/>
        <w:left w:val="none" w:sz="0" w:space="0" w:color="auto"/>
        <w:bottom w:val="none" w:sz="0" w:space="0" w:color="auto"/>
        <w:right w:val="none" w:sz="0" w:space="0" w:color="auto"/>
      </w:divBdr>
    </w:div>
    <w:div w:id="632488596">
      <w:bodyDiv w:val="1"/>
      <w:marLeft w:val="0"/>
      <w:marRight w:val="0"/>
      <w:marTop w:val="0"/>
      <w:marBottom w:val="0"/>
      <w:divBdr>
        <w:top w:val="none" w:sz="0" w:space="0" w:color="auto"/>
        <w:left w:val="none" w:sz="0" w:space="0" w:color="auto"/>
        <w:bottom w:val="none" w:sz="0" w:space="0" w:color="auto"/>
        <w:right w:val="none" w:sz="0" w:space="0" w:color="auto"/>
      </w:divBdr>
      <w:divsChild>
        <w:div w:id="2116633792">
          <w:marLeft w:val="120"/>
          <w:marRight w:val="120"/>
          <w:marTop w:val="120"/>
          <w:marBottom w:val="120"/>
          <w:divBdr>
            <w:top w:val="none" w:sz="0" w:space="0" w:color="auto"/>
            <w:left w:val="none" w:sz="0" w:space="0" w:color="auto"/>
            <w:bottom w:val="none" w:sz="0" w:space="0" w:color="auto"/>
            <w:right w:val="none" w:sz="0" w:space="0" w:color="auto"/>
          </w:divBdr>
          <w:divsChild>
            <w:div w:id="129448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2780">
      <w:bodyDiv w:val="1"/>
      <w:marLeft w:val="0"/>
      <w:marRight w:val="0"/>
      <w:marTop w:val="0"/>
      <w:marBottom w:val="0"/>
      <w:divBdr>
        <w:top w:val="none" w:sz="0" w:space="0" w:color="auto"/>
        <w:left w:val="none" w:sz="0" w:space="0" w:color="auto"/>
        <w:bottom w:val="none" w:sz="0" w:space="0" w:color="auto"/>
        <w:right w:val="none" w:sz="0" w:space="0" w:color="auto"/>
      </w:divBdr>
    </w:div>
    <w:div w:id="676270482">
      <w:bodyDiv w:val="1"/>
      <w:marLeft w:val="0"/>
      <w:marRight w:val="0"/>
      <w:marTop w:val="0"/>
      <w:marBottom w:val="0"/>
      <w:divBdr>
        <w:top w:val="none" w:sz="0" w:space="0" w:color="auto"/>
        <w:left w:val="none" w:sz="0" w:space="0" w:color="auto"/>
        <w:bottom w:val="none" w:sz="0" w:space="0" w:color="auto"/>
        <w:right w:val="none" w:sz="0" w:space="0" w:color="auto"/>
      </w:divBdr>
      <w:divsChild>
        <w:div w:id="328558550">
          <w:marLeft w:val="0"/>
          <w:marRight w:val="0"/>
          <w:marTop w:val="0"/>
          <w:marBottom w:val="0"/>
          <w:divBdr>
            <w:top w:val="single" w:sz="4" w:space="0" w:color="6595D6"/>
            <w:left w:val="single" w:sz="4" w:space="0" w:color="6595D6"/>
            <w:bottom w:val="single" w:sz="4" w:space="0" w:color="6595D6"/>
            <w:right w:val="single" w:sz="4" w:space="0" w:color="6595D6"/>
          </w:divBdr>
          <w:divsChild>
            <w:div w:id="1187057662">
              <w:marLeft w:val="1900"/>
              <w:marRight w:val="0"/>
              <w:marTop w:val="0"/>
              <w:marBottom w:val="0"/>
              <w:divBdr>
                <w:top w:val="single" w:sz="4" w:space="0" w:color="6595D6"/>
                <w:left w:val="single" w:sz="4" w:space="5" w:color="6595D6"/>
                <w:bottom w:val="single" w:sz="4" w:space="0" w:color="6595D6"/>
                <w:right w:val="single" w:sz="4" w:space="0" w:color="6595D6"/>
              </w:divBdr>
              <w:divsChild>
                <w:div w:id="1757969525">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716205518">
      <w:bodyDiv w:val="1"/>
      <w:marLeft w:val="0"/>
      <w:marRight w:val="0"/>
      <w:marTop w:val="0"/>
      <w:marBottom w:val="0"/>
      <w:divBdr>
        <w:top w:val="none" w:sz="0" w:space="0" w:color="auto"/>
        <w:left w:val="none" w:sz="0" w:space="0" w:color="auto"/>
        <w:bottom w:val="none" w:sz="0" w:space="0" w:color="auto"/>
        <w:right w:val="none" w:sz="0" w:space="0" w:color="auto"/>
      </w:divBdr>
    </w:div>
    <w:div w:id="722410838">
      <w:bodyDiv w:val="1"/>
      <w:marLeft w:val="0"/>
      <w:marRight w:val="0"/>
      <w:marTop w:val="0"/>
      <w:marBottom w:val="0"/>
      <w:divBdr>
        <w:top w:val="none" w:sz="0" w:space="0" w:color="auto"/>
        <w:left w:val="none" w:sz="0" w:space="0" w:color="auto"/>
        <w:bottom w:val="none" w:sz="0" w:space="0" w:color="auto"/>
        <w:right w:val="none" w:sz="0" w:space="0" w:color="auto"/>
      </w:divBdr>
    </w:div>
    <w:div w:id="755631233">
      <w:bodyDiv w:val="1"/>
      <w:marLeft w:val="0"/>
      <w:marRight w:val="0"/>
      <w:marTop w:val="0"/>
      <w:marBottom w:val="0"/>
      <w:divBdr>
        <w:top w:val="none" w:sz="0" w:space="0" w:color="auto"/>
        <w:left w:val="none" w:sz="0" w:space="0" w:color="auto"/>
        <w:bottom w:val="none" w:sz="0" w:space="0" w:color="auto"/>
        <w:right w:val="none" w:sz="0" w:space="0" w:color="auto"/>
      </w:divBdr>
    </w:div>
    <w:div w:id="789207018">
      <w:bodyDiv w:val="1"/>
      <w:marLeft w:val="0"/>
      <w:marRight w:val="0"/>
      <w:marTop w:val="0"/>
      <w:marBottom w:val="0"/>
      <w:divBdr>
        <w:top w:val="none" w:sz="0" w:space="0" w:color="auto"/>
        <w:left w:val="none" w:sz="0" w:space="0" w:color="auto"/>
        <w:bottom w:val="none" w:sz="0" w:space="0" w:color="auto"/>
        <w:right w:val="none" w:sz="0" w:space="0" w:color="auto"/>
      </w:divBdr>
    </w:div>
    <w:div w:id="913272521">
      <w:bodyDiv w:val="1"/>
      <w:marLeft w:val="0"/>
      <w:marRight w:val="0"/>
      <w:marTop w:val="0"/>
      <w:marBottom w:val="0"/>
      <w:divBdr>
        <w:top w:val="none" w:sz="0" w:space="0" w:color="auto"/>
        <w:left w:val="none" w:sz="0" w:space="0" w:color="auto"/>
        <w:bottom w:val="none" w:sz="0" w:space="0" w:color="auto"/>
        <w:right w:val="none" w:sz="0" w:space="0" w:color="auto"/>
      </w:divBdr>
      <w:divsChild>
        <w:div w:id="1331757691">
          <w:marLeft w:val="120"/>
          <w:marRight w:val="120"/>
          <w:marTop w:val="120"/>
          <w:marBottom w:val="120"/>
          <w:divBdr>
            <w:top w:val="none" w:sz="0" w:space="0" w:color="auto"/>
            <w:left w:val="none" w:sz="0" w:space="0" w:color="auto"/>
            <w:bottom w:val="none" w:sz="0" w:space="0" w:color="auto"/>
            <w:right w:val="none" w:sz="0" w:space="0" w:color="auto"/>
          </w:divBdr>
          <w:divsChild>
            <w:div w:id="214049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77196">
      <w:bodyDiv w:val="1"/>
      <w:marLeft w:val="0"/>
      <w:marRight w:val="0"/>
      <w:marTop w:val="0"/>
      <w:marBottom w:val="0"/>
      <w:divBdr>
        <w:top w:val="none" w:sz="0" w:space="0" w:color="auto"/>
        <w:left w:val="none" w:sz="0" w:space="0" w:color="auto"/>
        <w:bottom w:val="none" w:sz="0" w:space="0" w:color="auto"/>
        <w:right w:val="none" w:sz="0" w:space="0" w:color="auto"/>
      </w:divBdr>
    </w:div>
    <w:div w:id="1036085181">
      <w:bodyDiv w:val="1"/>
      <w:marLeft w:val="0"/>
      <w:marRight w:val="0"/>
      <w:marTop w:val="0"/>
      <w:marBottom w:val="0"/>
      <w:divBdr>
        <w:top w:val="none" w:sz="0" w:space="0" w:color="auto"/>
        <w:left w:val="none" w:sz="0" w:space="0" w:color="auto"/>
        <w:bottom w:val="none" w:sz="0" w:space="0" w:color="auto"/>
        <w:right w:val="none" w:sz="0" w:space="0" w:color="auto"/>
      </w:divBdr>
    </w:div>
    <w:div w:id="1106462216">
      <w:bodyDiv w:val="1"/>
      <w:marLeft w:val="0"/>
      <w:marRight w:val="0"/>
      <w:marTop w:val="0"/>
      <w:marBottom w:val="0"/>
      <w:divBdr>
        <w:top w:val="none" w:sz="0" w:space="0" w:color="auto"/>
        <w:left w:val="none" w:sz="0" w:space="0" w:color="auto"/>
        <w:bottom w:val="none" w:sz="0" w:space="0" w:color="auto"/>
        <w:right w:val="none" w:sz="0" w:space="0" w:color="auto"/>
      </w:divBdr>
    </w:div>
    <w:div w:id="1122307298">
      <w:bodyDiv w:val="1"/>
      <w:marLeft w:val="0"/>
      <w:marRight w:val="0"/>
      <w:marTop w:val="0"/>
      <w:marBottom w:val="0"/>
      <w:divBdr>
        <w:top w:val="none" w:sz="0" w:space="0" w:color="auto"/>
        <w:left w:val="none" w:sz="0" w:space="0" w:color="auto"/>
        <w:bottom w:val="none" w:sz="0" w:space="0" w:color="auto"/>
        <w:right w:val="none" w:sz="0" w:space="0" w:color="auto"/>
      </w:divBdr>
    </w:div>
    <w:div w:id="1138188601">
      <w:bodyDiv w:val="1"/>
      <w:marLeft w:val="0"/>
      <w:marRight w:val="0"/>
      <w:marTop w:val="0"/>
      <w:marBottom w:val="0"/>
      <w:divBdr>
        <w:top w:val="none" w:sz="0" w:space="0" w:color="auto"/>
        <w:left w:val="none" w:sz="0" w:space="0" w:color="auto"/>
        <w:bottom w:val="none" w:sz="0" w:space="0" w:color="auto"/>
        <w:right w:val="none" w:sz="0" w:space="0" w:color="auto"/>
      </w:divBdr>
    </w:div>
    <w:div w:id="1186139954">
      <w:bodyDiv w:val="1"/>
      <w:marLeft w:val="0"/>
      <w:marRight w:val="0"/>
      <w:marTop w:val="0"/>
      <w:marBottom w:val="0"/>
      <w:divBdr>
        <w:top w:val="none" w:sz="0" w:space="0" w:color="auto"/>
        <w:left w:val="none" w:sz="0" w:space="0" w:color="auto"/>
        <w:bottom w:val="none" w:sz="0" w:space="0" w:color="auto"/>
        <w:right w:val="none" w:sz="0" w:space="0" w:color="auto"/>
      </w:divBdr>
    </w:div>
    <w:div w:id="1231770084">
      <w:bodyDiv w:val="1"/>
      <w:marLeft w:val="0"/>
      <w:marRight w:val="0"/>
      <w:marTop w:val="0"/>
      <w:marBottom w:val="0"/>
      <w:divBdr>
        <w:top w:val="none" w:sz="0" w:space="0" w:color="auto"/>
        <w:left w:val="none" w:sz="0" w:space="0" w:color="auto"/>
        <w:bottom w:val="none" w:sz="0" w:space="0" w:color="auto"/>
        <w:right w:val="none" w:sz="0" w:space="0" w:color="auto"/>
      </w:divBdr>
    </w:div>
    <w:div w:id="1301225532">
      <w:bodyDiv w:val="1"/>
      <w:marLeft w:val="0"/>
      <w:marRight w:val="0"/>
      <w:marTop w:val="0"/>
      <w:marBottom w:val="0"/>
      <w:divBdr>
        <w:top w:val="none" w:sz="0" w:space="0" w:color="auto"/>
        <w:left w:val="none" w:sz="0" w:space="0" w:color="auto"/>
        <w:bottom w:val="none" w:sz="0" w:space="0" w:color="auto"/>
        <w:right w:val="none" w:sz="0" w:space="0" w:color="auto"/>
      </w:divBdr>
    </w:div>
    <w:div w:id="1362516375">
      <w:bodyDiv w:val="1"/>
      <w:marLeft w:val="0"/>
      <w:marRight w:val="0"/>
      <w:marTop w:val="0"/>
      <w:marBottom w:val="0"/>
      <w:divBdr>
        <w:top w:val="none" w:sz="0" w:space="0" w:color="auto"/>
        <w:left w:val="none" w:sz="0" w:space="0" w:color="auto"/>
        <w:bottom w:val="none" w:sz="0" w:space="0" w:color="auto"/>
        <w:right w:val="none" w:sz="0" w:space="0" w:color="auto"/>
      </w:divBdr>
    </w:div>
    <w:div w:id="1365061766">
      <w:bodyDiv w:val="1"/>
      <w:marLeft w:val="0"/>
      <w:marRight w:val="0"/>
      <w:marTop w:val="0"/>
      <w:marBottom w:val="0"/>
      <w:divBdr>
        <w:top w:val="none" w:sz="0" w:space="0" w:color="auto"/>
        <w:left w:val="none" w:sz="0" w:space="0" w:color="auto"/>
        <w:bottom w:val="none" w:sz="0" w:space="0" w:color="auto"/>
        <w:right w:val="none" w:sz="0" w:space="0" w:color="auto"/>
      </w:divBdr>
    </w:div>
    <w:div w:id="1430543282">
      <w:bodyDiv w:val="1"/>
      <w:marLeft w:val="0"/>
      <w:marRight w:val="0"/>
      <w:marTop w:val="0"/>
      <w:marBottom w:val="0"/>
      <w:divBdr>
        <w:top w:val="none" w:sz="0" w:space="0" w:color="auto"/>
        <w:left w:val="none" w:sz="0" w:space="0" w:color="auto"/>
        <w:bottom w:val="none" w:sz="0" w:space="0" w:color="auto"/>
        <w:right w:val="none" w:sz="0" w:space="0" w:color="auto"/>
      </w:divBdr>
    </w:div>
    <w:div w:id="1514876395">
      <w:bodyDiv w:val="1"/>
      <w:marLeft w:val="0"/>
      <w:marRight w:val="0"/>
      <w:marTop w:val="0"/>
      <w:marBottom w:val="0"/>
      <w:divBdr>
        <w:top w:val="none" w:sz="0" w:space="0" w:color="auto"/>
        <w:left w:val="none" w:sz="0" w:space="0" w:color="auto"/>
        <w:bottom w:val="none" w:sz="0" w:space="0" w:color="auto"/>
        <w:right w:val="none" w:sz="0" w:space="0" w:color="auto"/>
      </w:divBdr>
    </w:div>
    <w:div w:id="1595359883">
      <w:bodyDiv w:val="1"/>
      <w:marLeft w:val="0"/>
      <w:marRight w:val="0"/>
      <w:marTop w:val="0"/>
      <w:marBottom w:val="0"/>
      <w:divBdr>
        <w:top w:val="none" w:sz="0" w:space="0" w:color="auto"/>
        <w:left w:val="none" w:sz="0" w:space="0" w:color="auto"/>
        <w:bottom w:val="none" w:sz="0" w:space="0" w:color="auto"/>
        <w:right w:val="none" w:sz="0" w:space="0" w:color="auto"/>
      </w:divBdr>
    </w:div>
    <w:div w:id="1605570519">
      <w:bodyDiv w:val="1"/>
      <w:marLeft w:val="0"/>
      <w:marRight w:val="0"/>
      <w:marTop w:val="0"/>
      <w:marBottom w:val="0"/>
      <w:divBdr>
        <w:top w:val="none" w:sz="0" w:space="0" w:color="auto"/>
        <w:left w:val="none" w:sz="0" w:space="0" w:color="auto"/>
        <w:bottom w:val="none" w:sz="0" w:space="0" w:color="auto"/>
        <w:right w:val="none" w:sz="0" w:space="0" w:color="auto"/>
      </w:divBdr>
    </w:div>
    <w:div w:id="1626035728">
      <w:bodyDiv w:val="1"/>
      <w:marLeft w:val="0"/>
      <w:marRight w:val="0"/>
      <w:marTop w:val="0"/>
      <w:marBottom w:val="0"/>
      <w:divBdr>
        <w:top w:val="none" w:sz="0" w:space="0" w:color="auto"/>
        <w:left w:val="none" w:sz="0" w:space="0" w:color="auto"/>
        <w:bottom w:val="none" w:sz="0" w:space="0" w:color="auto"/>
        <w:right w:val="none" w:sz="0" w:space="0" w:color="auto"/>
      </w:divBdr>
    </w:div>
    <w:div w:id="1653832680">
      <w:bodyDiv w:val="1"/>
      <w:marLeft w:val="0"/>
      <w:marRight w:val="0"/>
      <w:marTop w:val="0"/>
      <w:marBottom w:val="0"/>
      <w:divBdr>
        <w:top w:val="none" w:sz="0" w:space="0" w:color="auto"/>
        <w:left w:val="none" w:sz="0" w:space="0" w:color="auto"/>
        <w:bottom w:val="none" w:sz="0" w:space="0" w:color="auto"/>
        <w:right w:val="none" w:sz="0" w:space="0" w:color="auto"/>
      </w:divBdr>
    </w:div>
    <w:div w:id="1657874171">
      <w:bodyDiv w:val="1"/>
      <w:marLeft w:val="0"/>
      <w:marRight w:val="0"/>
      <w:marTop w:val="0"/>
      <w:marBottom w:val="0"/>
      <w:divBdr>
        <w:top w:val="none" w:sz="0" w:space="0" w:color="auto"/>
        <w:left w:val="none" w:sz="0" w:space="0" w:color="auto"/>
        <w:bottom w:val="none" w:sz="0" w:space="0" w:color="auto"/>
        <w:right w:val="none" w:sz="0" w:space="0" w:color="auto"/>
      </w:divBdr>
    </w:div>
    <w:div w:id="1738286247">
      <w:bodyDiv w:val="1"/>
      <w:marLeft w:val="0"/>
      <w:marRight w:val="0"/>
      <w:marTop w:val="0"/>
      <w:marBottom w:val="0"/>
      <w:divBdr>
        <w:top w:val="none" w:sz="0" w:space="0" w:color="auto"/>
        <w:left w:val="none" w:sz="0" w:space="0" w:color="auto"/>
        <w:bottom w:val="none" w:sz="0" w:space="0" w:color="auto"/>
        <w:right w:val="none" w:sz="0" w:space="0" w:color="auto"/>
      </w:divBdr>
    </w:div>
    <w:div w:id="1755393765">
      <w:bodyDiv w:val="1"/>
      <w:marLeft w:val="0"/>
      <w:marRight w:val="0"/>
      <w:marTop w:val="0"/>
      <w:marBottom w:val="0"/>
      <w:divBdr>
        <w:top w:val="none" w:sz="0" w:space="0" w:color="auto"/>
        <w:left w:val="none" w:sz="0" w:space="0" w:color="auto"/>
        <w:bottom w:val="none" w:sz="0" w:space="0" w:color="auto"/>
        <w:right w:val="none" w:sz="0" w:space="0" w:color="auto"/>
      </w:divBdr>
    </w:div>
    <w:div w:id="1796289718">
      <w:bodyDiv w:val="1"/>
      <w:marLeft w:val="0"/>
      <w:marRight w:val="0"/>
      <w:marTop w:val="0"/>
      <w:marBottom w:val="0"/>
      <w:divBdr>
        <w:top w:val="none" w:sz="0" w:space="0" w:color="auto"/>
        <w:left w:val="none" w:sz="0" w:space="0" w:color="auto"/>
        <w:bottom w:val="none" w:sz="0" w:space="0" w:color="auto"/>
        <w:right w:val="none" w:sz="0" w:space="0" w:color="auto"/>
      </w:divBdr>
    </w:div>
    <w:div w:id="1826703814">
      <w:bodyDiv w:val="1"/>
      <w:marLeft w:val="0"/>
      <w:marRight w:val="0"/>
      <w:marTop w:val="0"/>
      <w:marBottom w:val="0"/>
      <w:divBdr>
        <w:top w:val="none" w:sz="0" w:space="0" w:color="auto"/>
        <w:left w:val="none" w:sz="0" w:space="0" w:color="auto"/>
        <w:bottom w:val="none" w:sz="0" w:space="0" w:color="auto"/>
        <w:right w:val="none" w:sz="0" w:space="0" w:color="auto"/>
      </w:divBdr>
    </w:div>
    <w:div w:id="1836188722">
      <w:bodyDiv w:val="1"/>
      <w:marLeft w:val="0"/>
      <w:marRight w:val="0"/>
      <w:marTop w:val="0"/>
      <w:marBottom w:val="0"/>
      <w:divBdr>
        <w:top w:val="none" w:sz="0" w:space="0" w:color="auto"/>
        <w:left w:val="none" w:sz="0" w:space="0" w:color="auto"/>
        <w:bottom w:val="none" w:sz="0" w:space="0" w:color="auto"/>
        <w:right w:val="none" w:sz="0" w:space="0" w:color="auto"/>
      </w:divBdr>
    </w:div>
    <w:div w:id="1855411288">
      <w:bodyDiv w:val="1"/>
      <w:marLeft w:val="0"/>
      <w:marRight w:val="0"/>
      <w:marTop w:val="0"/>
      <w:marBottom w:val="0"/>
      <w:divBdr>
        <w:top w:val="none" w:sz="0" w:space="0" w:color="auto"/>
        <w:left w:val="none" w:sz="0" w:space="0" w:color="auto"/>
        <w:bottom w:val="none" w:sz="0" w:space="0" w:color="auto"/>
        <w:right w:val="none" w:sz="0" w:space="0" w:color="auto"/>
      </w:divBdr>
    </w:div>
    <w:div w:id="1887135593">
      <w:bodyDiv w:val="1"/>
      <w:marLeft w:val="0"/>
      <w:marRight w:val="0"/>
      <w:marTop w:val="0"/>
      <w:marBottom w:val="0"/>
      <w:divBdr>
        <w:top w:val="none" w:sz="0" w:space="0" w:color="auto"/>
        <w:left w:val="none" w:sz="0" w:space="0" w:color="auto"/>
        <w:bottom w:val="none" w:sz="0" w:space="0" w:color="auto"/>
        <w:right w:val="none" w:sz="0" w:space="0" w:color="auto"/>
      </w:divBdr>
    </w:div>
    <w:div w:id="1915242883">
      <w:bodyDiv w:val="1"/>
      <w:marLeft w:val="0"/>
      <w:marRight w:val="0"/>
      <w:marTop w:val="0"/>
      <w:marBottom w:val="0"/>
      <w:divBdr>
        <w:top w:val="none" w:sz="0" w:space="0" w:color="auto"/>
        <w:left w:val="none" w:sz="0" w:space="0" w:color="auto"/>
        <w:bottom w:val="none" w:sz="0" w:space="0" w:color="auto"/>
        <w:right w:val="none" w:sz="0" w:space="0" w:color="auto"/>
      </w:divBdr>
    </w:div>
    <w:div w:id="1979609136">
      <w:bodyDiv w:val="1"/>
      <w:marLeft w:val="0"/>
      <w:marRight w:val="0"/>
      <w:marTop w:val="0"/>
      <w:marBottom w:val="0"/>
      <w:divBdr>
        <w:top w:val="none" w:sz="0" w:space="0" w:color="auto"/>
        <w:left w:val="none" w:sz="0" w:space="0" w:color="auto"/>
        <w:bottom w:val="none" w:sz="0" w:space="0" w:color="auto"/>
        <w:right w:val="none" w:sz="0" w:space="0" w:color="auto"/>
      </w:divBdr>
      <w:divsChild>
        <w:div w:id="405684275">
          <w:marLeft w:val="120"/>
          <w:marRight w:val="120"/>
          <w:marTop w:val="120"/>
          <w:marBottom w:val="120"/>
          <w:divBdr>
            <w:top w:val="none" w:sz="0" w:space="0" w:color="auto"/>
            <w:left w:val="none" w:sz="0" w:space="0" w:color="auto"/>
            <w:bottom w:val="none" w:sz="0" w:space="0" w:color="auto"/>
            <w:right w:val="none" w:sz="0" w:space="0" w:color="auto"/>
          </w:divBdr>
          <w:divsChild>
            <w:div w:id="155897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29018">
      <w:bodyDiv w:val="1"/>
      <w:marLeft w:val="0"/>
      <w:marRight w:val="0"/>
      <w:marTop w:val="0"/>
      <w:marBottom w:val="0"/>
      <w:divBdr>
        <w:top w:val="none" w:sz="0" w:space="0" w:color="auto"/>
        <w:left w:val="none" w:sz="0" w:space="0" w:color="auto"/>
        <w:bottom w:val="none" w:sz="0" w:space="0" w:color="auto"/>
        <w:right w:val="none" w:sz="0" w:space="0" w:color="auto"/>
      </w:divBdr>
    </w:div>
    <w:div w:id="2038772883">
      <w:bodyDiv w:val="1"/>
      <w:marLeft w:val="0"/>
      <w:marRight w:val="0"/>
      <w:marTop w:val="0"/>
      <w:marBottom w:val="0"/>
      <w:divBdr>
        <w:top w:val="none" w:sz="0" w:space="0" w:color="auto"/>
        <w:left w:val="none" w:sz="0" w:space="0" w:color="auto"/>
        <w:bottom w:val="none" w:sz="0" w:space="0" w:color="auto"/>
        <w:right w:val="none" w:sz="0" w:space="0" w:color="auto"/>
      </w:divBdr>
    </w:div>
    <w:div w:id="2079785023">
      <w:bodyDiv w:val="1"/>
      <w:marLeft w:val="0"/>
      <w:marRight w:val="0"/>
      <w:marTop w:val="0"/>
      <w:marBottom w:val="0"/>
      <w:divBdr>
        <w:top w:val="none" w:sz="0" w:space="0" w:color="auto"/>
        <w:left w:val="none" w:sz="0" w:space="0" w:color="auto"/>
        <w:bottom w:val="none" w:sz="0" w:space="0" w:color="auto"/>
        <w:right w:val="none" w:sz="0" w:space="0" w:color="auto"/>
      </w:divBdr>
      <w:divsChild>
        <w:div w:id="813184484">
          <w:marLeft w:val="0"/>
          <w:marRight w:val="0"/>
          <w:marTop w:val="0"/>
          <w:marBottom w:val="0"/>
          <w:divBdr>
            <w:top w:val="none" w:sz="0" w:space="0" w:color="auto"/>
            <w:left w:val="none" w:sz="0" w:space="0" w:color="auto"/>
            <w:bottom w:val="none" w:sz="0" w:space="0" w:color="auto"/>
            <w:right w:val="none" w:sz="0" w:space="0" w:color="auto"/>
          </w:divBdr>
          <w:divsChild>
            <w:div w:id="1192496467">
              <w:marLeft w:val="0"/>
              <w:marRight w:val="0"/>
              <w:marTop w:val="0"/>
              <w:marBottom w:val="0"/>
              <w:divBdr>
                <w:top w:val="none" w:sz="0" w:space="0" w:color="auto"/>
                <w:left w:val="none" w:sz="0" w:space="0" w:color="auto"/>
                <w:bottom w:val="none" w:sz="0" w:space="0" w:color="auto"/>
                <w:right w:val="none" w:sz="0" w:space="0" w:color="auto"/>
              </w:divBdr>
              <w:divsChild>
                <w:div w:id="1453085744">
                  <w:marLeft w:val="0"/>
                  <w:marRight w:val="0"/>
                  <w:marTop w:val="0"/>
                  <w:marBottom w:val="0"/>
                  <w:divBdr>
                    <w:top w:val="none" w:sz="0" w:space="0" w:color="F5FAFC"/>
                    <w:left w:val="single" w:sz="4" w:space="0" w:color="F5FAFC"/>
                    <w:bottom w:val="single" w:sz="4" w:space="0" w:color="F5FAFC"/>
                    <w:right w:val="single" w:sz="4" w:space="0" w:color="F5FAFC"/>
                  </w:divBdr>
                  <w:divsChild>
                    <w:div w:id="1801341666">
                      <w:marLeft w:val="0"/>
                      <w:marRight w:val="0"/>
                      <w:marTop w:val="0"/>
                      <w:marBottom w:val="0"/>
                      <w:divBdr>
                        <w:top w:val="none" w:sz="0" w:space="0" w:color="F5FAFC"/>
                        <w:left w:val="single" w:sz="4" w:space="0" w:color="F5FAFC"/>
                        <w:bottom w:val="single" w:sz="4" w:space="0" w:color="F5FAFC"/>
                        <w:right w:val="single" w:sz="4" w:space="0" w:color="F5FAFC"/>
                      </w:divBdr>
                      <w:divsChild>
                        <w:div w:id="1194810090">
                          <w:marLeft w:val="0"/>
                          <w:marRight w:val="0"/>
                          <w:marTop w:val="0"/>
                          <w:marBottom w:val="0"/>
                          <w:divBdr>
                            <w:top w:val="none" w:sz="0" w:space="0" w:color="F5FAFC"/>
                            <w:left w:val="single" w:sz="4" w:space="0" w:color="F5FAFC"/>
                            <w:bottom w:val="single" w:sz="4" w:space="0" w:color="F5FAFC"/>
                            <w:right w:val="single" w:sz="4" w:space="0" w:color="F5FAFC"/>
                          </w:divBdr>
                          <w:divsChild>
                            <w:div w:id="39285089">
                              <w:marLeft w:val="0"/>
                              <w:marRight w:val="0"/>
                              <w:marTop w:val="0"/>
                              <w:marBottom w:val="0"/>
                              <w:divBdr>
                                <w:top w:val="none" w:sz="0" w:space="0" w:color="F5FAFC"/>
                                <w:left w:val="single" w:sz="4" w:space="0" w:color="F5FAFC"/>
                                <w:bottom w:val="single" w:sz="4" w:space="0" w:color="F5FAFC"/>
                                <w:right w:val="single" w:sz="4" w:space="0" w:color="F5FAFC"/>
                              </w:divBdr>
                              <w:divsChild>
                                <w:div w:id="1647124105">
                                  <w:marLeft w:val="0"/>
                                  <w:marRight w:val="0"/>
                                  <w:marTop w:val="0"/>
                                  <w:marBottom w:val="50"/>
                                  <w:divBdr>
                                    <w:top w:val="none" w:sz="0" w:space="0" w:color="auto"/>
                                    <w:left w:val="none" w:sz="0" w:space="0" w:color="auto"/>
                                    <w:bottom w:val="none" w:sz="0" w:space="0" w:color="auto"/>
                                    <w:right w:val="none" w:sz="0" w:space="0" w:color="auto"/>
                                  </w:divBdr>
                                  <w:divsChild>
                                    <w:div w:id="19282520">
                                      <w:marLeft w:val="0"/>
                                      <w:marRight w:val="0"/>
                                      <w:marTop w:val="0"/>
                                      <w:marBottom w:val="0"/>
                                      <w:divBdr>
                                        <w:top w:val="none" w:sz="0" w:space="0" w:color="F5FAFC"/>
                                        <w:left w:val="single" w:sz="4" w:space="0" w:color="F5FAFC"/>
                                        <w:bottom w:val="single" w:sz="4" w:space="0" w:color="F5FAFC"/>
                                        <w:right w:val="single" w:sz="4" w:space="0" w:color="F5FAFC"/>
                                      </w:divBdr>
                                      <w:divsChild>
                                        <w:div w:id="2081947811">
                                          <w:marLeft w:val="0"/>
                                          <w:marRight w:val="0"/>
                                          <w:marTop w:val="0"/>
                                          <w:marBottom w:val="50"/>
                                          <w:divBdr>
                                            <w:top w:val="none" w:sz="0" w:space="0" w:color="auto"/>
                                            <w:left w:val="none" w:sz="0" w:space="0" w:color="auto"/>
                                            <w:bottom w:val="none" w:sz="0" w:space="0" w:color="auto"/>
                                            <w:right w:val="none" w:sz="0" w:space="0" w:color="auto"/>
                                          </w:divBdr>
                                          <w:divsChild>
                                            <w:div w:id="1750342000">
                                              <w:marLeft w:val="0"/>
                                              <w:marRight w:val="0"/>
                                              <w:marTop w:val="0"/>
                                              <w:marBottom w:val="50"/>
                                              <w:divBdr>
                                                <w:top w:val="none" w:sz="0" w:space="0" w:color="D8E7EE"/>
                                                <w:left w:val="none" w:sz="0" w:space="0" w:color="D8E7EE"/>
                                                <w:bottom w:val="single" w:sz="4" w:space="0" w:color="D8E7EE"/>
                                                <w:right w:val="none" w:sz="0" w:space="0" w:color="D8E7EE"/>
                                              </w:divBdr>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86FB6-7B70-5549-B5DB-EA70BB99B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3909</Words>
  <Characters>4262</Characters>
  <Application>Microsoft Macintosh Word</Application>
  <DocSecurity>0</DocSecurity>
  <Lines>125</Lines>
  <Paragraphs>33</Paragraphs>
  <ScaleCrop>false</ScaleCrop>
  <HeadingPairs>
    <vt:vector size="2" baseType="variant">
      <vt:variant>
        <vt:lpstr>Title</vt:lpstr>
      </vt:variant>
      <vt:variant>
        <vt:i4>1</vt:i4>
      </vt:variant>
    </vt:vector>
  </HeadingPairs>
  <TitlesOfParts>
    <vt:vector size="1" baseType="lpstr">
      <vt:lpstr>November 17, 2005</vt:lpstr>
    </vt:vector>
  </TitlesOfParts>
  <Company>Lenovo (Beijing) Limited</Company>
  <LinksUpToDate>false</LinksUpToDate>
  <CharactersWithSpaces>8138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17, 2005</dc:title>
  <dc:creator>Lenovo User</dc:creator>
  <cp:lastModifiedBy>  apple</cp:lastModifiedBy>
  <cp:revision>3</cp:revision>
  <cp:lastPrinted>2016-05-17T10:13:00Z</cp:lastPrinted>
  <dcterms:created xsi:type="dcterms:W3CDTF">2016-05-17T10:13:00Z</dcterms:created>
  <dcterms:modified xsi:type="dcterms:W3CDTF">2016-05-17T10:13:00Z</dcterms:modified>
</cp:coreProperties>
</file>